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339" w:rsidRPr="00AF0E11" w:rsidRDefault="00B77339" w:rsidP="00B77339">
      <w:pPr>
        <w:jc w:val="center"/>
        <w:rPr>
          <w:rFonts w:ascii="標楷體" w:eastAsia="標楷體" w:hAnsi="標楷體"/>
          <w:b/>
          <w:szCs w:val="24"/>
        </w:rPr>
      </w:pPr>
      <w:r w:rsidRPr="00AF0E11">
        <w:rPr>
          <w:rFonts w:ascii="標楷體" w:eastAsia="標楷體" w:hAnsi="標楷體" w:hint="eastAsia"/>
          <w:b/>
          <w:sz w:val="28"/>
        </w:rPr>
        <w:t>國立高雄大學職員</w:t>
      </w:r>
      <w:proofErr w:type="gramStart"/>
      <w:r w:rsidRPr="00AF0E11">
        <w:rPr>
          <w:rFonts w:ascii="標楷體" w:eastAsia="標楷體" w:hAnsi="標楷體" w:hint="eastAsia"/>
          <w:b/>
          <w:sz w:val="28"/>
        </w:rPr>
        <w:t>陞</w:t>
      </w:r>
      <w:proofErr w:type="gramEnd"/>
      <w:r w:rsidRPr="00AF0E11">
        <w:rPr>
          <w:rFonts w:ascii="標楷體" w:eastAsia="標楷體" w:hAnsi="標楷體" w:hint="eastAsia"/>
          <w:b/>
          <w:sz w:val="28"/>
        </w:rPr>
        <w:t>任評分標準表</w:t>
      </w:r>
    </w:p>
    <w:p w:rsidR="00B77339" w:rsidRPr="0008020D" w:rsidRDefault="00B77339" w:rsidP="0008020D">
      <w:pPr>
        <w:jc w:val="right"/>
        <w:rPr>
          <w:rFonts w:eastAsia="標楷體"/>
          <w:sz w:val="20"/>
        </w:rPr>
      </w:pPr>
      <w:r w:rsidRPr="0008020D">
        <w:rPr>
          <w:rFonts w:eastAsia="標楷體"/>
          <w:sz w:val="20"/>
        </w:rPr>
        <w:t>經</w:t>
      </w:r>
      <w:r w:rsidRPr="0008020D">
        <w:rPr>
          <w:rFonts w:eastAsia="標楷體"/>
          <w:sz w:val="20"/>
        </w:rPr>
        <w:t>100</w:t>
      </w:r>
      <w:r w:rsidRPr="0008020D">
        <w:rPr>
          <w:rFonts w:eastAsia="標楷體"/>
          <w:sz w:val="20"/>
        </w:rPr>
        <w:t>年第</w:t>
      </w:r>
      <w:r w:rsidRPr="0008020D">
        <w:rPr>
          <w:rFonts w:eastAsia="標楷體"/>
          <w:sz w:val="20"/>
        </w:rPr>
        <w:t>1</w:t>
      </w:r>
      <w:r w:rsidRPr="0008020D">
        <w:rPr>
          <w:rFonts w:eastAsia="標楷體"/>
          <w:sz w:val="20"/>
        </w:rPr>
        <w:t>次職員</w:t>
      </w:r>
      <w:proofErr w:type="gramStart"/>
      <w:r w:rsidRPr="0008020D">
        <w:rPr>
          <w:rFonts w:eastAsia="標楷體"/>
          <w:sz w:val="20"/>
        </w:rPr>
        <w:t>甄</w:t>
      </w:r>
      <w:proofErr w:type="gramEnd"/>
      <w:r w:rsidRPr="0008020D">
        <w:rPr>
          <w:rFonts w:eastAsia="標楷體"/>
          <w:sz w:val="20"/>
        </w:rPr>
        <w:t>審委員會審議、</w:t>
      </w:r>
      <w:r w:rsidRPr="0008020D">
        <w:rPr>
          <w:rFonts w:eastAsia="標楷體"/>
          <w:sz w:val="20"/>
        </w:rPr>
        <w:t>100.3.15</w:t>
      </w:r>
      <w:r w:rsidRPr="0008020D">
        <w:rPr>
          <w:rFonts w:eastAsia="標楷體"/>
          <w:sz w:val="20"/>
        </w:rPr>
        <w:t>核定</w:t>
      </w:r>
    </w:p>
    <w:p w:rsidR="0008020D" w:rsidRPr="0008020D" w:rsidRDefault="00B77339" w:rsidP="0008020D">
      <w:pPr>
        <w:jc w:val="right"/>
        <w:rPr>
          <w:rFonts w:eastAsia="標楷體"/>
          <w:sz w:val="20"/>
        </w:rPr>
      </w:pPr>
      <w:r w:rsidRPr="0008020D">
        <w:rPr>
          <w:rFonts w:eastAsia="標楷體"/>
          <w:sz w:val="20"/>
        </w:rPr>
        <w:t>經</w:t>
      </w:r>
      <w:r w:rsidR="0008020D" w:rsidRPr="0008020D">
        <w:rPr>
          <w:rFonts w:eastAsia="標楷體"/>
          <w:sz w:val="20"/>
        </w:rPr>
        <w:t>本校</w:t>
      </w:r>
      <w:r w:rsidRPr="0008020D">
        <w:rPr>
          <w:rFonts w:eastAsia="標楷體"/>
          <w:sz w:val="20"/>
        </w:rPr>
        <w:t>113</w:t>
      </w:r>
      <w:r w:rsidRPr="0008020D">
        <w:rPr>
          <w:rFonts w:eastAsia="標楷體"/>
          <w:sz w:val="20"/>
        </w:rPr>
        <w:t>年</w:t>
      </w:r>
      <w:r w:rsidR="0008020D" w:rsidRPr="0008020D">
        <w:rPr>
          <w:rFonts w:eastAsia="標楷體"/>
          <w:sz w:val="20"/>
        </w:rPr>
        <w:t>6</w:t>
      </w:r>
      <w:r w:rsidR="0008020D" w:rsidRPr="0008020D">
        <w:rPr>
          <w:rFonts w:eastAsia="標楷體"/>
          <w:sz w:val="20"/>
        </w:rPr>
        <w:t>月</w:t>
      </w:r>
      <w:r w:rsidR="0008020D" w:rsidRPr="0008020D">
        <w:rPr>
          <w:rFonts w:eastAsia="標楷體"/>
          <w:sz w:val="20"/>
        </w:rPr>
        <w:t>19</w:t>
      </w:r>
      <w:r w:rsidR="0008020D" w:rsidRPr="0008020D">
        <w:rPr>
          <w:rFonts w:eastAsia="標楷體"/>
          <w:sz w:val="20"/>
        </w:rPr>
        <w:t>日</w:t>
      </w:r>
      <w:r w:rsidRPr="0008020D">
        <w:rPr>
          <w:rFonts w:eastAsia="標楷體"/>
          <w:sz w:val="20"/>
        </w:rPr>
        <w:t>第</w:t>
      </w:r>
      <w:r w:rsidRPr="0008020D">
        <w:rPr>
          <w:rFonts w:eastAsia="標楷體"/>
          <w:sz w:val="20"/>
        </w:rPr>
        <w:t>2</w:t>
      </w:r>
      <w:r w:rsidRPr="0008020D">
        <w:rPr>
          <w:rFonts w:eastAsia="標楷體"/>
          <w:sz w:val="20"/>
        </w:rPr>
        <w:t>次職員甄審</w:t>
      </w:r>
      <w:r w:rsidR="0008020D" w:rsidRPr="0008020D">
        <w:rPr>
          <w:rFonts w:eastAsia="標楷體"/>
          <w:sz w:val="20"/>
        </w:rPr>
        <w:t>暨考績</w:t>
      </w:r>
      <w:r w:rsidRPr="0008020D">
        <w:rPr>
          <w:rFonts w:eastAsia="標楷體"/>
          <w:sz w:val="20"/>
        </w:rPr>
        <w:t>委員會審議</w:t>
      </w:r>
      <w:r w:rsidR="0008020D" w:rsidRPr="0008020D">
        <w:rPr>
          <w:rFonts w:eastAsia="標楷體"/>
          <w:sz w:val="20"/>
        </w:rPr>
        <w:t>通過</w:t>
      </w:r>
    </w:p>
    <w:tbl>
      <w:tblPr>
        <w:tblStyle w:val="a3"/>
        <w:tblW w:w="0" w:type="auto"/>
        <w:jc w:val="center"/>
        <w:tblLayout w:type="fixed"/>
        <w:tblLook w:val="04A0" w:firstRow="1" w:lastRow="0" w:firstColumn="1" w:lastColumn="0" w:noHBand="0" w:noVBand="1"/>
      </w:tblPr>
      <w:tblGrid>
        <w:gridCol w:w="704"/>
        <w:gridCol w:w="709"/>
        <w:gridCol w:w="2508"/>
        <w:gridCol w:w="1177"/>
        <w:gridCol w:w="1293"/>
        <w:gridCol w:w="4371"/>
      </w:tblGrid>
      <w:tr w:rsidR="00B90AC6" w:rsidRPr="00B90AC6" w:rsidTr="0037421A">
        <w:trPr>
          <w:jc w:val="center"/>
        </w:trPr>
        <w:tc>
          <w:tcPr>
            <w:tcW w:w="704" w:type="dxa"/>
            <w:vMerge w:val="restart"/>
            <w:vAlign w:val="center"/>
          </w:tcPr>
          <w:p w:rsidR="00B77339" w:rsidRPr="00B90AC6" w:rsidRDefault="00B77339" w:rsidP="0037421A">
            <w:pPr>
              <w:jc w:val="center"/>
              <w:rPr>
                <w:rFonts w:eastAsia="標楷體"/>
              </w:rPr>
            </w:pPr>
            <w:r w:rsidRPr="00B90AC6">
              <w:rPr>
                <w:rFonts w:eastAsia="標楷體"/>
              </w:rPr>
              <w:t>評比類別</w:t>
            </w:r>
          </w:p>
        </w:tc>
        <w:tc>
          <w:tcPr>
            <w:tcW w:w="709" w:type="dxa"/>
            <w:vMerge w:val="restart"/>
            <w:vAlign w:val="center"/>
          </w:tcPr>
          <w:p w:rsidR="00AD10BE" w:rsidRDefault="00B77339" w:rsidP="0037421A">
            <w:pPr>
              <w:jc w:val="center"/>
              <w:rPr>
                <w:rFonts w:eastAsia="標楷體"/>
              </w:rPr>
            </w:pPr>
            <w:r w:rsidRPr="00B90AC6">
              <w:rPr>
                <w:rFonts w:eastAsia="標楷體"/>
              </w:rPr>
              <w:t>評比</w:t>
            </w:r>
          </w:p>
          <w:p w:rsidR="00B77339" w:rsidRPr="00B90AC6" w:rsidRDefault="00B77339" w:rsidP="0037421A">
            <w:pPr>
              <w:jc w:val="center"/>
              <w:rPr>
                <w:rFonts w:eastAsia="標楷體"/>
              </w:rPr>
            </w:pPr>
            <w:r w:rsidRPr="00B90AC6">
              <w:rPr>
                <w:rFonts w:eastAsia="標楷體"/>
              </w:rPr>
              <w:t>項目</w:t>
            </w:r>
          </w:p>
        </w:tc>
        <w:tc>
          <w:tcPr>
            <w:tcW w:w="2508" w:type="dxa"/>
            <w:vMerge w:val="restart"/>
            <w:vAlign w:val="center"/>
          </w:tcPr>
          <w:p w:rsidR="00B77339" w:rsidRPr="00B90AC6" w:rsidRDefault="00B77339" w:rsidP="0037421A">
            <w:pPr>
              <w:jc w:val="center"/>
              <w:rPr>
                <w:rFonts w:eastAsia="標楷體"/>
              </w:rPr>
            </w:pPr>
            <w:r w:rsidRPr="00B90AC6">
              <w:rPr>
                <w:rFonts w:eastAsia="標楷體"/>
              </w:rPr>
              <w:t>評分標準</w:t>
            </w:r>
          </w:p>
        </w:tc>
        <w:tc>
          <w:tcPr>
            <w:tcW w:w="2470" w:type="dxa"/>
            <w:gridSpan w:val="2"/>
            <w:vAlign w:val="center"/>
          </w:tcPr>
          <w:p w:rsidR="00B77339" w:rsidRPr="00B90AC6" w:rsidRDefault="00B77339" w:rsidP="0037421A">
            <w:pPr>
              <w:jc w:val="center"/>
              <w:rPr>
                <w:rFonts w:eastAsia="標楷體"/>
              </w:rPr>
            </w:pPr>
            <w:r w:rsidRPr="00B90AC6">
              <w:rPr>
                <w:rFonts w:eastAsia="標楷體"/>
              </w:rPr>
              <w:t>配分</w:t>
            </w:r>
          </w:p>
        </w:tc>
        <w:tc>
          <w:tcPr>
            <w:tcW w:w="4371" w:type="dxa"/>
            <w:vMerge w:val="restart"/>
            <w:vAlign w:val="center"/>
          </w:tcPr>
          <w:p w:rsidR="00B77339" w:rsidRPr="00B90AC6" w:rsidRDefault="00B77339" w:rsidP="0037421A">
            <w:pPr>
              <w:jc w:val="center"/>
              <w:rPr>
                <w:rFonts w:eastAsia="標楷體"/>
              </w:rPr>
            </w:pPr>
            <w:r w:rsidRPr="00B90AC6">
              <w:rPr>
                <w:rFonts w:eastAsia="標楷體"/>
              </w:rPr>
              <w:t>說明</w:t>
            </w:r>
          </w:p>
        </w:tc>
      </w:tr>
      <w:tr w:rsidR="00672CCD" w:rsidRPr="00B90AC6" w:rsidTr="0037421A">
        <w:trPr>
          <w:jc w:val="center"/>
        </w:trPr>
        <w:tc>
          <w:tcPr>
            <w:tcW w:w="704" w:type="dxa"/>
            <w:vMerge/>
          </w:tcPr>
          <w:p w:rsidR="00B77339" w:rsidRPr="00B90AC6" w:rsidRDefault="00B77339" w:rsidP="00AD10BE">
            <w:pPr>
              <w:jc w:val="center"/>
              <w:rPr>
                <w:rFonts w:eastAsia="標楷體"/>
              </w:rPr>
            </w:pPr>
          </w:p>
        </w:tc>
        <w:tc>
          <w:tcPr>
            <w:tcW w:w="709" w:type="dxa"/>
            <w:vMerge/>
          </w:tcPr>
          <w:p w:rsidR="00B77339" w:rsidRPr="00B90AC6" w:rsidRDefault="00B77339" w:rsidP="00AD10BE">
            <w:pPr>
              <w:jc w:val="center"/>
              <w:rPr>
                <w:rFonts w:eastAsia="標楷體"/>
              </w:rPr>
            </w:pPr>
          </w:p>
        </w:tc>
        <w:tc>
          <w:tcPr>
            <w:tcW w:w="2508" w:type="dxa"/>
            <w:vMerge/>
          </w:tcPr>
          <w:p w:rsidR="00B77339" w:rsidRPr="00B90AC6" w:rsidRDefault="00B77339" w:rsidP="00AD10BE">
            <w:pPr>
              <w:jc w:val="center"/>
              <w:rPr>
                <w:rFonts w:eastAsia="標楷體"/>
              </w:rPr>
            </w:pPr>
          </w:p>
        </w:tc>
        <w:tc>
          <w:tcPr>
            <w:tcW w:w="1177" w:type="dxa"/>
          </w:tcPr>
          <w:p w:rsidR="00B77339" w:rsidRPr="00B90AC6" w:rsidRDefault="00B77339" w:rsidP="00AD10BE">
            <w:pPr>
              <w:jc w:val="center"/>
              <w:rPr>
                <w:rFonts w:eastAsia="標楷體"/>
              </w:rPr>
            </w:pPr>
            <w:r w:rsidRPr="00B90AC6">
              <w:rPr>
                <w:rFonts w:eastAsia="標楷體"/>
              </w:rPr>
              <w:t>擬任非主管職務</w:t>
            </w:r>
          </w:p>
        </w:tc>
        <w:tc>
          <w:tcPr>
            <w:tcW w:w="1293" w:type="dxa"/>
          </w:tcPr>
          <w:p w:rsidR="00B77339" w:rsidRPr="00B90AC6" w:rsidRDefault="00B77339" w:rsidP="00AD10BE">
            <w:pPr>
              <w:jc w:val="center"/>
              <w:rPr>
                <w:rFonts w:eastAsia="標楷體"/>
              </w:rPr>
            </w:pPr>
            <w:r w:rsidRPr="00B90AC6">
              <w:rPr>
                <w:rFonts w:eastAsia="標楷體"/>
              </w:rPr>
              <w:t>擬任主管職務</w:t>
            </w:r>
          </w:p>
        </w:tc>
        <w:tc>
          <w:tcPr>
            <w:tcW w:w="4371" w:type="dxa"/>
            <w:vMerge/>
          </w:tcPr>
          <w:p w:rsidR="00B77339" w:rsidRPr="00B90AC6" w:rsidRDefault="00B77339" w:rsidP="00B90AC6">
            <w:pPr>
              <w:jc w:val="both"/>
              <w:rPr>
                <w:rFonts w:eastAsia="標楷體"/>
              </w:rPr>
            </w:pPr>
          </w:p>
        </w:tc>
      </w:tr>
      <w:tr w:rsidR="0037421A" w:rsidRPr="00B90AC6" w:rsidTr="0037421A">
        <w:trPr>
          <w:trHeight w:val="982"/>
          <w:jc w:val="center"/>
        </w:trPr>
        <w:tc>
          <w:tcPr>
            <w:tcW w:w="704" w:type="dxa"/>
            <w:vMerge w:val="restart"/>
            <w:vAlign w:val="center"/>
          </w:tcPr>
          <w:p w:rsidR="0037421A" w:rsidRPr="00B90AC6" w:rsidRDefault="0037421A" w:rsidP="00B90AC6">
            <w:pPr>
              <w:jc w:val="both"/>
              <w:rPr>
                <w:rFonts w:eastAsia="標楷體"/>
              </w:rPr>
            </w:pPr>
            <w:r w:rsidRPr="00B90AC6">
              <w:rPr>
                <w:rFonts w:eastAsia="標楷體"/>
              </w:rPr>
              <w:t>基本選項</w:t>
            </w:r>
          </w:p>
        </w:tc>
        <w:tc>
          <w:tcPr>
            <w:tcW w:w="709" w:type="dxa"/>
            <w:vMerge w:val="restart"/>
            <w:vAlign w:val="center"/>
          </w:tcPr>
          <w:p w:rsidR="0037421A" w:rsidRDefault="0037421A" w:rsidP="00B90AC6">
            <w:pPr>
              <w:jc w:val="both"/>
              <w:rPr>
                <w:rFonts w:eastAsia="標楷體"/>
              </w:rPr>
            </w:pPr>
            <w:r w:rsidRPr="00B90AC6">
              <w:rPr>
                <w:rFonts w:eastAsia="標楷體"/>
              </w:rPr>
              <w:t>學歷</w:t>
            </w:r>
          </w:p>
          <w:p w:rsidR="0037421A" w:rsidRPr="00B90AC6" w:rsidRDefault="0037421A" w:rsidP="00B90AC6">
            <w:pPr>
              <w:jc w:val="both"/>
              <w:rPr>
                <w:rFonts w:eastAsia="標楷體"/>
              </w:rPr>
            </w:pPr>
            <w:r w:rsidRPr="00B90AC6">
              <w:rPr>
                <w:rFonts w:eastAsia="標楷體"/>
              </w:rPr>
              <w:t>考試</w:t>
            </w:r>
          </w:p>
        </w:tc>
        <w:tc>
          <w:tcPr>
            <w:tcW w:w="2508" w:type="dxa"/>
            <w:vAlign w:val="center"/>
          </w:tcPr>
          <w:p w:rsidR="0037421A" w:rsidRPr="00B90AC6" w:rsidRDefault="0037421A" w:rsidP="0037421A">
            <w:pPr>
              <w:jc w:val="both"/>
              <w:rPr>
                <w:rFonts w:eastAsia="標楷體"/>
              </w:rPr>
            </w:pPr>
            <w:r w:rsidRPr="00B90AC6">
              <w:rPr>
                <w:rFonts w:eastAsia="標楷體"/>
                <w:color w:val="000000"/>
                <w:kern w:val="0"/>
              </w:rPr>
              <w:t>高中（職）以上學校畢業，或經公務人員考試及格</w:t>
            </w:r>
          </w:p>
        </w:tc>
        <w:tc>
          <w:tcPr>
            <w:tcW w:w="2470" w:type="dxa"/>
            <w:gridSpan w:val="2"/>
            <w:vAlign w:val="center"/>
          </w:tcPr>
          <w:p w:rsidR="0037421A" w:rsidRPr="00B90AC6" w:rsidRDefault="0037421A" w:rsidP="0037421A">
            <w:pPr>
              <w:jc w:val="center"/>
              <w:rPr>
                <w:rFonts w:eastAsia="標楷體"/>
              </w:rPr>
            </w:pPr>
            <w:r w:rsidRPr="00B90AC6">
              <w:rPr>
                <w:rFonts w:eastAsia="標楷體"/>
              </w:rPr>
              <w:t>1</w:t>
            </w:r>
            <w:r w:rsidRPr="00B90AC6">
              <w:rPr>
                <w:rFonts w:eastAsia="標楷體"/>
              </w:rPr>
              <w:t>分</w:t>
            </w:r>
          </w:p>
        </w:tc>
        <w:tc>
          <w:tcPr>
            <w:tcW w:w="4371" w:type="dxa"/>
            <w:vMerge w:val="restart"/>
          </w:tcPr>
          <w:p w:rsidR="0037421A" w:rsidRPr="0037421A" w:rsidRDefault="0037421A" w:rsidP="0037421A">
            <w:pPr>
              <w:pStyle w:val="a4"/>
              <w:numPr>
                <w:ilvl w:val="0"/>
                <w:numId w:val="11"/>
              </w:numPr>
              <w:ind w:leftChars="0" w:left="482" w:hanging="482"/>
              <w:jc w:val="both"/>
              <w:rPr>
                <w:rFonts w:eastAsia="標楷體"/>
              </w:rPr>
            </w:pPr>
            <w:r w:rsidRPr="0037421A">
              <w:rPr>
                <w:rFonts w:eastAsia="標楷體"/>
              </w:rPr>
              <w:t>學歷之認定，以教育部或國防部（軍事學校）學制為</w:t>
            </w:r>
            <w:proofErr w:type="gramStart"/>
            <w:r w:rsidRPr="0037421A">
              <w:rPr>
                <w:rFonts w:eastAsia="標楷體"/>
              </w:rPr>
              <w:t>準</w:t>
            </w:r>
            <w:proofErr w:type="gramEnd"/>
            <w:r w:rsidRPr="0037421A">
              <w:rPr>
                <w:rFonts w:eastAsia="標楷體"/>
              </w:rPr>
              <w:t>，</w:t>
            </w:r>
            <w:r w:rsidRPr="0037421A">
              <w:rPr>
                <w:rFonts w:eastAsia="標楷體"/>
              </w:rPr>
              <w:t xml:space="preserve"> </w:t>
            </w:r>
            <w:r w:rsidRPr="0037421A">
              <w:rPr>
                <w:rFonts w:eastAsia="標楷體"/>
              </w:rPr>
              <w:t>並以最高學歷計算。凡經教育部立案或認可之學歷，不分國內外，計分相同。</w:t>
            </w:r>
          </w:p>
          <w:p w:rsidR="0037421A" w:rsidRPr="0037421A" w:rsidRDefault="0037421A" w:rsidP="0037421A">
            <w:pPr>
              <w:pStyle w:val="a4"/>
              <w:numPr>
                <w:ilvl w:val="0"/>
                <w:numId w:val="11"/>
              </w:numPr>
              <w:ind w:leftChars="0" w:left="482" w:hanging="482"/>
              <w:jc w:val="both"/>
              <w:rPr>
                <w:rFonts w:eastAsia="標楷體"/>
              </w:rPr>
            </w:pPr>
            <w:r w:rsidRPr="0037421A">
              <w:rPr>
                <w:rFonts w:eastAsia="標楷體"/>
              </w:rPr>
              <w:t>公務人員考試及格，指經各類公務人員任用考試、升官等考試及國軍上校以上軍官轉任公務人員考試及格。</w:t>
            </w:r>
          </w:p>
          <w:p w:rsidR="0037421A" w:rsidRPr="00B90AC6" w:rsidRDefault="0037421A" w:rsidP="0037421A">
            <w:pPr>
              <w:pStyle w:val="a4"/>
              <w:numPr>
                <w:ilvl w:val="0"/>
                <w:numId w:val="11"/>
              </w:numPr>
              <w:ind w:leftChars="0" w:left="482" w:hanging="482"/>
              <w:jc w:val="both"/>
            </w:pPr>
            <w:r w:rsidRPr="0037421A">
              <w:rPr>
                <w:rFonts w:eastAsia="標楷體"/>
              </w:rPr>
              <w:t>專門職業及技術人員高等考試、普通考試及格，且轉任公務人員者，及經各類檢</w:t>
            </w:r>
            <w:proofErr w:type="gramStart"/>
            <w:r w:rsidRPr="0037421A">
              <w:rPr>
                <w:rFonts w:eastAsia="標楷體"/>
              </w:rPr>
              <w:t>覈</w:t>
            </w:r>
            <w:proofErr w:type="gramEnd"/>
            <w:r w:rsidRPr="0037421A">
              <w:rPr>
                <w:rFonts w:eastAsia="標楷體"/>
              </w:rPr>
              <w:t>、銓定資格考試及格者，均比照公務人員考試及格計分。</w:t>
            </w:r>
          </w:p>
        </w:tc>
      </w:tr>
      <w:tr w:rsidR="0037421A" w:rsidRPr="00B90AC6" w:rsidTr="0037421A">
        <w:trPr>
          <w:trHeight w:val="884"/>
          <w:jc w:val="center"/>
        </w:trPr>
        <w:tc>
          <w:tcPr>
            <w:tcW w:w="704" w:type="dxa"/>
            <w:vMerge/>
            <w:vAlign w:val="center"/>
          </w:tcPr>
          <w:p w:rsidR="0037421A" w:rsidRPr="00B90AC6" w:rsidRDefault="0037421A" w:rsidP="00B90AC6">
            <w:pPr>
              <w:jc w:val="both"/>
              <w:rPr>
                <w:rFonts w:eastAsia="標楷體"/>
              </w:rPr>
            </w:pPr>
          </w:p>
        </w:tc>
        <w:tc>
          <w:tcPr>
            <w:tcW w:w="709" w:type="dxa"/>
            <w:vMerge/>
            <w:vAlign w:val="center"/>
          </w:tcPr>
          <w:p w:rsidR="0037421A" w:rsidRPr="00B90AC6" w:rsidRDefault="0037421A" w:rsidP="00B90AC6">
            <w:pPr>
              <w:jc w:val="both"/>
              <w:rPr>
                <w:rFonts w:eastAsia="標楷體"/>
              </w:rPr>
            </w:pPr>
          </w:p>
        </w:tc>
        <w:tc>
          <w:tcPr>
            <w:tcW w:w="2508" w:type="dxa"/>
            <w:vAlign w:val="center"/>
          </w:tcPr>
          <w:p w:rsidR="0037421A" w:rsidRPr="00B90AC6" w:rsidRDefault="0037421A" w:rsidP="0037421A">
            <w:pPr>
              <w:jc w:val="both"/>
              <w:rPr>
                <w:rFonts w:eastAsia="標楷體"/>
              </w:rPr>
            </w:pPr>
            <w:r w:rsidRPr="00B90AC6">
              <w:rPr>
                <w:rFonts w:eastAsia="標楷體"/>
                <w:color w:val="000000"/>
                <w:kern w:val="0"/>
              </w:rPr>
              <w:t>大學（獨立學院）畢業，且經公務人員考試及格</w:t>
            </w:r>
          </w:p>
        </w:tc>
        <w:tc>
          <w:tcPr>
            <w:tcW w:w="2470" w:type="dxa"/>
            <w:gridSpan w:val="2"/>
            <w:vAlign w:val="center"/>
          </w:tcPr>
          <w:p w:rsidR="0037421A" w:rsidRPr="00B90AC6" w:rsidRDefault="0037421A" w:rsidP="0037421A">
            <w:pPr>
              <w:jc w:val="center"/>
              <w:rPr>
                <w:rFonts w:eastAsia="標楷體"/>
              </w:rPr>
            </w:pPr>
            <w:r w:rsidRPr="00B90AC6">
              <w:rPr>
                <w:rFonts w:eastAsia="標楷體"/>
              </w:rPr>
              <w:t>2</w:t>
            </w:r>
            <w:r w:rsidRPr="00B90AC6">
              <w:rPr>
                <w:rFonts w:eastAsia="標楷體"/>
              </w:rPr>
              <w:t>分</w:t>
            </w:r>
          </w:p>
        </w:tc>
        <w:tc>
          <w:tcPr>
            <w:tcW w:w="4371" w:type="dxa"/>
            <w:vMerge/>
          </w:tcPr>
          <w:p w:rsidR="0037421A" w:rsidRPr="00B90AC6" w:rsidRDefault="0037421A" w:rsidP="00B90AC6">
            <w:pPr>
              <w:jc w:val="both"/>
              <w:rPr>
                <w:rFonts w:eastAsia="標楷體"/>
              </w:rPr>
            </w:pPr>
          </w:p>
        </w:tc>
      </w:tr>
      <w:tr w:rsidR="0037421A" w:rsidRPr="00B90AC6" w:rsidTr="0037421A">
        <w:trPr>
          <w:trHeight w:val="1084"/>
          <w:jc w:val="center"/>
        </w:trPr>
        <w:tc>
          <w:tcPr>
            <w:tcW w:w="704" w:type="dxa"/>
            <w:vMerge/>
            <w:vAlign w:val="center"/>
          </w:tcPr>
          <w:p w:rsidR="0037421A" w:rsidRPr="00B90AC6" w:rsidRDefault="0037421A" w:rsidP="00B90AC6">
            <w:pPr>
              <w:jc w:val="both"/>
              <w:rPr>
                <w:rFonts w:eastAsia="標楷體"/>
              </w:rPr>
            </w:pPr>
          </w:p>
        </w:tc>
        <w:tc>
          <w:tcPr>
            <w:tcW w:w="709" w:type="dxa"/>
            <w:vMerge/>
            <w:vAlign w:val="center"/>
          </w:tcPr>
          <w:p w:rsidR="0037421A" w:rsidRPr="00B90AC6" w:rsidRDefault="0037421A" w:rsidP="00B90AC6">
            <w:pPr>
              <w:jc w:val="both"/>
              <w:rPr>
                <w:rFonts w:eastAsia="標楷體"/>
              </w:rPr>
            </w:pPr>
          </w:p>
        </w:tc>
        <w:tc>
          <w:tcPr>
            <w:tcW w:w="2508" w:type="dxa"/>
            <w:vAlign w:val="center"/>
          </w:tcPr>
          <w:p w:rsidR="0037421A" w:rsidRPr="00B90AC6" w:rsidRDefault="0037421A" w:rsidP="0037421A">
            <w:pPr>
              <w:jc w:val="both"/>
              <w:rPr>
                <w:rFonts w:eastAsia="標楷體"/>
              </w:rPr>
            </w:pPr>
            <w:r w:rsidRPr="00B90AC6">
              <w:rPr>
                <w:rFonts w:eastAsia="標楷體"/>
                <w:color w:val="000000"/>
                <w:kern w:val="0"/>
              </w:rPr>
              <w:t>具碩士學位，且經公務人員考試及格</w:t>
            </w:r>
          </w:p>
        </w:tc>
        <w:tc>
          <w:tcPr>
            <w:tcW w:w="2470" w:type="dxa"/>
            <w:gridSpan w:val="2"/>
            <w:vAlign w:val="center"/>
          </w:tcPr>
          <w:p w:rsidR="0037421A" w:rsidRPr="00B90AC6" w:rsidRDefault="0037421A" w:rsidP="0037421A">
            <w:pPr>
              <w:jc w:val="center"/>
              <w:rPr>
                <w:rFonts w:eastAsia="標楷體"/>
              </w:rPr>
            </w:pPr>
            <w:r w:rsidRPr="00B90AC6">
              <w:rPr>
                <w:rFonts w:eastAsia="標楷體"/>
              </w:rPr>
              <w:t>3</w:t>
            </w:r>
            <w:r w:rsidRPr="00B90AC6">
              <w:rPr>
                <w:rFonts w:eastAsia="標楷體"/>
              </w:rPr>
              <w:t>分</w:t>
            </w:r>
          </w:p>
        </w:tc>
        <w:tc>
          <w:tcPr>
            <w:tcW w:w="4371" w:type="dxa"/>
            <w:vMerge/>
          </w:tcPr>
          <w:p w:rsidR="0037421A" w:rsidRPr="00B90AC6" w:rsidRDefault="0037421A" w:rsidP="00B90AC6">
            <w:pPr>
              <w:jc w:val="both"/>
              <w:rPr>
                <w:rFonts w:eastAsia="標楷體"/>
              </w:rPr>
            </w:pPr>
          </w:p>
        </w:tc>
      </w:tr>
      <w:tr w:rsidR="0037421A" w:rsidRPr="00B90AC6" w:rsidTr="0037421A">
        <w:trPr>
          <w:trHeight w:val="1118"/>
          <w:jc w:val="center"/>
        </w:trPr>
        <w:tc>
          <w:tcPr>
            <w:tcW w:w="704" w:type="dxa"/>
            <w:vMerge/>
            <w:vAlign w:val="center"/>
          </w:tcPr>
          <w:p w:rsidR="0037421A" w:rsidRPr="00B90AC6" w:rsidRDefault="0037421A" w:rsidP="00B90AC6">
            <w:pPr>
              <w:jc w:val="both"/>
              <w:rPr>
                <w:rFonts w:eastAsia="標楷體"/>
              </w:rPr>
            </w:pPr>
          </w:p>
        </w:tc>
        <w:tc>
          <w:tcPr>
            <w:tcW w:w="709" w:type="dxa"/>
            <w:vMerge/>
            <w:vAlign w:val="center"/>
          </w:tcPr>
          <w:p w:rsidR="0037421A" w:rsidRPr="00B90AC6" w:rsidRDefault="0037421A" w:rsidP="00B90AC6">
            <w:pPr>
              <w:jc w:val="both"/>
              <w:rPr>
                <w:rFonts w:eastAsia="標楷體"/>
              </w:rPr>
            </w:pPr>
          </w:p>
        </w:tc>
        <w:tc>
          <w:tcPr>
            <w:tcW w:w="2508" w:type="dxa"/>
            <w:vAlign w:val="center"/>
          </w:tcPr>
          <w:p w:rsidR="0037421A" w:rsidRPr="00B90AC6" w:rsidRDefault="0037421A" w:rsidP="0037421A">
            <w:pPr>
              <w:jc w:val="both"/>
              <w:rPr>
                <w:rFonts w:eastAsia="標楷體"/>
              </w:rPr>
            </w:pPr>
            <w:r w:rsidRPr="00B90AC6">
              <w:rPr>
                <w:rFonts w:eastAsia="標楷體"/>
                <w:color w:val="000000"/>
                <w:kern w:val="0"/>
              </w:rPr>
              <w:t>具博士學位，且經公務人員考試及格</w:t>
            </w:r>
          </w:p>
        </w:tc>
        <w:tc>
          <w:tcPr>
            <w:tcW w:w="2470" w:type="dxa"/>
            <w:gridSpan w:val="2"/>
            <w:vAlign w:val="center"/>
          </w:tcPr>
          <w:p w:rsidR="0037421A" w:rsidRPr="00B90AC6" w:rsidRDefault="0037421A" w:rsidP="0037421A">
            <w:pPr>
              <w:jc w:val="center"/>
              <w:rPr>
                <w:rFonts w:eastAsia="標楷體"/>
              </w:rPr>
            </w:pPr>
            <w:r w:rsidRPr="00B90AC6">
              <w:rPr>
                <w:rFonts w:eastAsia="標楷體"/>
              </w:rPr>
              <w:t>4</w:t>
            </w:r>
            <w:r w:rsidRPr="00B90AC6">
              <w:rPr>
                <w:rFonts w:eastAsia="標楷體"/>
              </w:rPr>
              <w:t>分</w:t>
            </w:r>
          </w:p>
        </w:tc>
        <w:tc>
          <w:tcPr>
            <w:tcW w:w="4371" w:type="dxa"/>
            <w:vMerge/>
          </w:tcPr>
          <w:p w:rsidR="0037421A" w:rsidRPr="00B90AC6" w:rsidRDefault="0037421A" w:rsidP="00B90AC6">
            <w:pPr>
              <w:jc w:val="both"/>
              <w:rPr>
                <w:rFonts w:eastAsia="標楷體"/>
              </w:rPr>
            </w:pPr>
          </w:p>
        </w:tc>
      </w:tr>
      <w:tr w:rsidR="0037421A" w:rsidRPr="00B90AC6" w:rsidTr="0037421A">
        <w:trPr>
          <w:jc w:val="center"/>
        </w:trPr>
        <w:tc>
          <w:tcPr>
            <w:tcW w:w="704" w:type="dxa"/>
            <w:vMerge/>
            <w:vAlign w:val="center"/>
          </w:tcPr>
          <w:p w:rsidR="0037421A" w:rsidRPr="00B90AC6" w:rsidRDefault="0037421A" w:rsidP="00B90AC6">
            <w:pPr>
              <w:jc w:val="both"/>
              <w:rPr>
                <w:rFonts w:eastAsia="標楷體"/>
              </w:rPr>
            </w:pPr>
          </w:p>
        </w:tc>
        <w:tc>
          <w:tcPr>
            <w:tcW w:w="709" w:type="dxa"/>
            <w:vAlign w:val="center"/>
          </w:tcPr>
          <w:p w:rsidR="0037421A" w:rsidRPr="00B90AC6" w:rsidRDefault="0037421A" w:rsidP="00B90AC6">
            <w:pPr>
              <w:jc w:val="both"/>
              <w:rPr>
                <w:rFonts w:eastAsia="標楷體"/>
              </w:rPr>
            </w:pPr>
            <w:r w:rsidRPr="00B90AC6">
              <w:rPr>
                <w:rFonts w:eastAsia="標楷體"/>
              </w:rPr>
              <w:t>年資</w:t>
            </w:r>
          </w:p>
        </w:tc>
        <w:tc>
          <w:tcPr>
            <w:tcW w:w="2508" w:type="dxa"/>
            <w:vAlign w:val="center"/>
          </w:tcPr>
          <w:p w:rsidR="0037421A" w:rsidRPr="00B90AC6" w:rsidRDefault="0037421A" w:rsidP="0037421A">
            <w:pPr>
              <w:jc w:val="center"/>
              <w:rPr>
                <w:rFonts w:eastAsia="標楷體"/>
                <w:color w:val="000000"/>
                <w:kern w:val="0"/>
              </w:rPr>
            </w:pPr>
            <w:r w:rsidRPr="00B90AC6">
              <w:rPr>
                <w:rFonts w:eastAsia="標楷體"/>
                <w:color w:val="000000"/>
                <w:kern w:val="0"/>
              </w:rPr>
              <w:t>每滿一年</w:t>
            </w:r>
          </w:p>
        </w:tc>
        <w:tc>
          <w:tcPr>
            <w:tcW w:w="2470" w:type="dxa"/>
            <w:gridSpan w:val="2"/>
            <w:vAlign w:val="center"/>
          </w:tcPr>
          <w:p w:rsidR="0037421A" w:rsidRPr="00B90AC6" w:rsidRDefault="0037421A" w:rsidP="0037421A">
            <w:pPr>
              <w:jc w:val="center"/>
              <w:rPr>
                <w:rFonts w:eastAsia="標楷體"/>
              </w:rPr>
            </w:pPr>
            <w:r w:rsidRPr="00B90AC6">
              <w:rPr>
                <w:rFonts w:eastAsia="標楷體"/>
              </w:rPr>
              <w:t>1</w:t>
            </w:r>
            <w:r w:rsidRPr="00B90AC6">
              <w:rPr>
                <w:rFonts w:eastAsia="標楷體"/>
              </w:rPr>
              <w:t>分</w:t>
            </w:r>
          </w:p>
        </w:tc>
        <w:tc>
          <w:tcPr>
            <w:tcW w:w="4371" w:type="dxa"/>
          </w:tcPr>
          <w:p w:rsidR="0037421A" w:rsidRPr="0037421A" w:rsidRDefault="0037421A" w:rsidP="0037421A">
            <w:pPr>
              <w:pStyle w:val="a4"/>
              <w:numPr>
                <w:ilvl w:val="0"/>
                <w:numId w:val="10"/>
              </w:numPr>
              <w:ind w:leftChars="0" w:left="482" w:hanging="482"/>
              <w:jc w:val="both"/>
              <w:rPr>
                <w:rFonts w:eastAsia="標楷體"/>
              </w:rPr>
            </w:pPr>
            <w:r w:rsidRPr="0037421A">
              <w:rPr>
                <w:rFonts w:eastAsia="標楷體"/>
              </w:rPr>
              <w:t>本項配分，最高以</w:t>
            </w:r>
            <w:r w:rsidRPr="0037421A">
              <w:rPr>
                <w:rFonts w:eastAsia="標楷體"/>
              </w:rPr>
              <w:t>8</w:t>
            </w:r>
            <w:r w:rsidRPr="0037421A">
              <w:rPr>
                <w:rFonts w:eastAsia="標楷體"/>
              </w:rPr>
              <w:t>分為限。</w:t>
            </w:r>
          </w:p>
          <w:p w:rsidR="0037421A" w:rsidRPr="0037421A" w:rsidRDefault="0037421A" w:rsidP="0037421A">
            <w:pPr>
              <w:pStyle w:val="a4"/>
              <w:numPr>
                <w:ilvl w:val="0"/>
                <w:numId w:val="10"/>
              </w:numPr>
              <w:ind w:leftChars="0" w:left="482" w:hanging="482"/>
              <w:jc w:val="both"/>
              <w:rPr>
                <w:rFonts w:eastAsia="標楷體"/>
              </w:rPr>
            </w:pPr>
            <w:r w:rsidRPr="0037421A">
              <w:rPr>
                <w:rFonts w:eastAsia="標楷體"/>
              </w:rPr>
              <w:t>以現職、同職務列等或同一</w:t>
            </w:r>
            <w:proofErr w:type="gramStart"/>
            <w:r w:rsidRPr="0037421A">
              <w:rPr>
                <w:rFonts w:eastAsia="標楷體"/>
              </w:rPr>
              <w:t>陞</w:t>
            </w:r>
            <w:proofErr w:type="gramEnd"/>
            <w:r w:rsidRPr="0037421A">
              <w:rPr>
                <w:rFonts w:eastAsia="標楷體"/>
              </w:rPr>
              <w:t>遷序列職務期間之年資為限。又本表所稱現職、同職務列等或同一</w:t>
            </w:r>
            <w:proofErr w:type="gramStart"/>
            <w:r w:rsidRPr="0037421A">
              <w:rPr>
                <w:rFonts w:eastAsia="標楷體"/>
              </w:rPr>
              <w:t>陞</w:t>
            </w:r>
            <w:proofErr w:type="gramEnd"/>
            <w:r w:rsidRPr="0037421A">
              <w:rPr>
                <w:rFonts w:eastAsia="標楷體"/>
              </w:rPr>
              <w:t>遷序列之職務，均包括</w:t>
            </w:r>
            <w:proofErr w:type="gramStart"/>
            <w:r w:rsidRPr="0037421A">
              <w:rPr>
                <w:rFonts w:eastAsia="標楷體"/>
              </w:rPr>
              <w:t>權理期間</w:t>
            </w:r>
            <w:proofErr w:type="gramEnd"/>
            <w:r w:rsidRPr="0037421A">
              <w:rPr>
                <w:rFonts w:eastAsia="標楷體"/>
              </w:rPr>
              <w:t>，但不包含代理之職務。</w:t>
            </w:r>
          </w:p>
          <w:p w:rsidR="0037421A" w:rsidRPr="0037421A" w:rsidRDefault="0037421A" w:rsidP="0037421A">
            <w:pPr>
              <w:pStyle w:val="a4"/>
              <w:numPr>
                <w:ilvl w:val="0"/>
                <w:numId w:val="10"/>
              </w:numPr>
              <w:ind w:leftChars="0" w:left="482" w:hanging="482"/>
              <w:jc w:val="both"/>
              <w:rPr>
                <w:rFonts w:eastAsia="標楷體"/>
              </w:rPr>
            </w:pPr>
            <w:r w:rsidRPr="0037421A">
              <w:rPr>
                <w:rFonts w:eastAsia="標楷體"/>
              </w:rPr>
              <w:t>尾數未滿半年者，給予</w:t>
            </w:r>
            <w:r w:rsidRPr="0037421A">
              <w:rPr>
                <w:rFonts w:eastAsia="標楷體"/>
              </w:rPr>
              <w:t>0.5</w:t>
            </w:r>
            <w:r w:rsidRPr="0037421A">
              <w:rPr>
                <w:rFonts w:eastAsia="標楷體"/>
              </w:rPr>
              <w:t>分；在半年以上，未滿一年者，以一年計算。</w:t>
            </w:r>
          </w:p>
          <w:p w:rsidR="0037421A" w:rsidRPr="00B90AC6" w:rsidRDefault="0037421A" w:rsidP="0037421A">
            <w:pPr>
              <w:pStyle w:val="a4"/>
              <w:numPr>
                <w:ilvl w:val="0"/>
                <w:numId w:val="10"/>
              </w:numPr>
              <w:ind w:leftChars="0" w:left="482" w:hanging="482"/>
              <w:jc w:val="both"/>
            </w:pPr>
            <w:r w:rsidRPr="0037421A">
              <w:rPr>
                <w:rFonts w:eastAsia="標楷體"/>
              </w:rPr>
              <w:t>曾任基層服務之同職務列等或同一</w:t>
            </w:r>
            <w:proofErr w:type="gramStart"/>
            <w:r w:rsidRPr="0037421A">
              <w:rPr>
                <w:rFonts w:eastAsia="標楷體"/>
              </w:rPr>
              <w:t>陞</w:t>
            </w:r>
            <w:proofErr w:type="gramEnd"/>
            <w:r w:rsidRPr="0037421A">
              <w:rPr>
                <w:rFonts w:eastAsia="標楷體"/>
              </w:rPr>
              <w:t>遷序列職務年資，</w:t>
            </w:r>
            <w:proofErr w:type="gramStart"/>
            <w:r w:rsidRPr="0037421A">
              <w:rPr>
                <w:rFonts w:eastAsia="標楷體"/>
              </w:rPr>
              <w:t>得視職</w:t>
            </w:r>
            <w:proofErr w:type="gramEnd"/>
            <w:r w:rsidRPr="0037421A">
              <w:rPr>
                <w:rFonts w:eastAsia="標楷體"/>
              </w:rPr>
              <w:t>缺之職責程度及業務性質，經職員</w:t>
            </w:r>
            <w:proofErr w:type="gramStart"/>
            <w:r w:rsidRPr="0037421A">
              <w:rPr>
                <w:rFonts w:eastAsia="標楷體"/>
              </w:rPr>
              <w:t>甄審</w:t>
            </w:r>
            <w:proofErr w:type="gramEnd"/>
            <w:r w:rsidRPr="0037421A">
              <w:rPr>
                <w:rFonts w:eastAsia="標楷體"/>
              </w:rPr>
              <w:t>暨考績委員會審查後於本項配分</w:t>
            </w:r>
            <w:proofErr w:type="gramStart"/>
            <w:r w:rsidRPr="0037421A">
              <w:rPr>
                <w:rFonts w:eastAsia="標楷體"/>
              </w:rPr>
              <w:t>上限內酌</w:t>
            </w:r>
            <w:proofErr w:type="gramEnd"/>
            <w:r w:rsidRPr="0037421A">
              <w:rPr>
                <w:rFonts w:eastAsia="標楷體"/>
              </w:rPr>
              <w:t>予加分。</w:t>
            </w:r>
          </w:p>
        </w:tc>
      </w:tr>
      <w:tr w:rsidR="00B77339" w:rsidRPr="00B90AC6" w:rsidTr="002C43B4">
        <w:trPr>
          <w:trHeight w:val="1268"/>
          <w:jc w:val="center"/>
        </w:trPr>
        <w:tc>
          <w:tcPr>
            <w:tcW w:w="704" w:type="dxa"/>
            <w:vMerge w:val="restart"/>
            <w:vAlign w:val="center"/>
          </w:tcPr>
          <w:p w:rsidR="00B77339" w:rsidRPr="00B90AC6" w:rsidRDefault="00B77339" w:rsidP="00B90AC6">
            <w:pPr>
              <w:jc w:val="both"/>
              <w:rPr>
                <w:rFonts w:eastAsia="標楷體"/>
              </w:rPr>
            </w:pPr>
            <w:r w:rsidRPr="00B90AC6">
              <w:rPr>
                <w:rFonts w:eastAsia="標楷體"/>
              </w:rPr>
              <w:t>工作績效</w:t>
            </w:r>
          </w:p>
        </w:tc>
        <w:tc>
          <w:tcPr>
            <w:tcW w:w="709" w:type="dxa"/>
            <w:vMerge w:val="restart"/>
            <w:vAlign w:val="center"/>
          </w:tcPr>
          <w:p w:rsidR="00B77339" w:rsidRPr="00B90AC6" w:rsidRDefault="00B77339" w:rsidP="0037421A">
            <w:pPr>
              <w:jc w:val="center"/>
              <w:rPr>
                <w:rFonts w:eastAsia="標楷體"/>
              </w:rPr>
            </w:pPr>
            <w:r w:rsidRPr="00B90AC6">
              <w:rPr>
                <w:rFonts w:eastAsia="標楷體"/>
              </w:rPr>
              <w:t>考績</w:t>
            </w:r>
          </w:p>
        </w:tc>
        <w:tc>
          <w:tcPr>
            <w:tcW w:w="2508" w:type="dxa"/>
            <w:vAlign w:val="center"/>
          </w:tcPr>
          <w:p w:rsidR="00B77339" w:rsidRPr="00B90AC6" w:rsidRDefault="00B77339" w:rsidP="0037421A">
            <w:pPr>
              <w:jc w:val="center"/>
              <w:rPr>
                <w:rFonts w:eastAsia="標楷體"/>
                <w:color w:val="000000"/>
                <w:kern w:val="0"/>
              </w:rPr>
            </w:pPr>
            <w:r w:rsidRPr="00B90AC6">
              <w:rPr>
                <w:rFonts w:eastAsia="標楷體"/>
                <w:color w:val="000000"/>
                <w:kern w:val="0"/>
              </w:rPr>
              <w:t>甲等</w:t>
            </w:r>
          </w:p>
        </w:tc>
        <w:tc>
          <w:tcPr>
            <w:tcW w:w="2470" w:type="dxa"/>
            <w:gridSpan w:val="2"/>
            <w:vAlign w:val="center"/>
          </w:tcPr>
          <w:p w:rsidR="00B77339" w:rsidRPr="00B90AC6" w:rsidRDefault="00B77339" w:rsidP="0037421A">
            <w:pPr>
              <w:jc w:val="center"/>
              <w:rPr>
                <w:rFonts w:eastAsia="標楷體"/>
              </w:rPr>
            </w:pPr>
            <w:r w:rsidRPr="00B90AC6">
              <w:rPr>
                <w:rFonts w:eastAsia="標楷體"/>
              </w:rPr>
              <w:t>2</w:t>
            </w:r>
            <w:r w:rsidRPr="00B90AC6">
              <w:rPr>
                <w:rFonts w:eastAsia="標楷體"/>
              </w:rPr>
              <w:t>分</w:t>
            </w:r>
          </w:p>
        </w:tc>
        <w:tc>
          <w:tcPr>
            <w:tcW w:w="4371" w:type="dxa"/>
            <w:vMerge w:val="restart"/>
          </w:tcPr>
          <w:p w:rsidR="00B77339" w:rsidRPr="0037421A" w:rsidRDefault="00B77339" w:rsidP="0037421A">
            <w:pPr>
              <w:pStyle w:val="a4"/>
              <w:numPr>
                <w:ilvl w:val="0"/>
                <w:numId w:val="12"/>
              </w:numPr>
              <w:ind w:leftChars="0" w:left="482" w:hanging="482"/>
              <w:jc w:val="both"/>
              <w:rPr>
                <w:rFonts w:eastAsia="標楷體"/>
              </w:rPr>
            </w:pPr>
            <w:r w:rsidRPr="0037421A">
              <w:rPr>
                <w:rFonts w:eastAsia="標楷體"/>
              </w:rPr>
              <w:t>本項配分，最高以</w:t>
            </w:r>
            <w:r w:rsidRPr="0037421A">
              <w:rPr>
                <w:rFonts w:eastAsia="標楷體"/>
              </w:rPr>
              <w:t>10</w:t>
            </w:r>
            <w:r w:rsidRPr="0037421A">
              <w:rPr>
                <w:rFonts w:eastAsia="標楷體"/>
              </w:rPr>
              <w:t>分為限。</w:t>
            </w:r>
          </w:p>
          <w:p w:rsidR="00B77339" w:rsidRPr="0037421A" w:rsidRDefault="00B77339" w:rsidP="0037421A">
            <w:pPr>
              <w:pStyle w:val="a4"/>
              <w:numPr>
                <w:ilvl w:val="0"/>
                <w:numId w:val="12"/>
              </w:numPr>
              <w:ind w:leftChars="0" w:left="482" w:hanging="482"/>
              <w:jc w:val="both"/>
              <w:rPr>
                <w:rFonts w:eastAsia="標楷體"/>
              </w:rPr>
            </w:pPr>
            <w:r w:rsidRPr="0037421A">
              <w:rPr>
                <w:rFonts w:eastAsia="標楷體"/>
              </w:rPr>
              <w:t>以最近五年現職、同職務列等或同一</w:t>
            </w:r>
            <w:proofErr w:type="gramStart"/>
            <w:r w:rsidRPr="0037421A">
              <w:rPr>
                <w:rFonts w:eastAsia="標楷體"/>
              </w:rPr>
              <w:t>陞</w:t>
            </w:r>
            <w:proofErr w:type="gramEnd"/>
            <w:r w:rsidRPr="0037421A">
              <w:rPr>
                <w:rFonts w:eastAsia="標楷體"/>
              </w:rPr>
              <w:t>遷序列職務期間經銓敘部審定之年終考績為限。未經審定前，依校長覆核之考績結果核計。</w:t>
            </w:r>
          </w:p>
          <w:p w:rsidR="00B77339" w:rsidRPr="0037421A" w:rsidRDefault="00B77339" w:rsidP="0037421A">
            <w:pPr>
              <w:pStyle w:val="a4"/>
              <w:numPr>
                <w:ilvl w:val="0"/>
                <w:numId w:val="12"/>
              </w:numPr>
              <w:ind w:leftChars="0" w:left="482" w:hanging="482"/>
              <w:jc w:val="both"/>
              <w:rPr>
                <w:rFonts w:eastAsia="標楷體"/>
              </w:rPr>
            </w:pPr>
            <w:r w:rsidRPr="0037421A">
              <w:rPr>
                <w:rFonts w:eastAsia="標楷體"/>
              </w:rPr>
              <w:t>考列丙等者，不予計分。</w:t>
            </w:r>
          </w:p>
          <w:p w:rsidR="00B77339" w:rsidRPr="00B90AC6" w:rsidRDefault="00B77339" w:rsidP="0037421A">
            <w:pPr>
              <w:pStyle w:val="a4"/>
              <w:numPr>
                <w:ilvl w:val="0"/>
                <w:numId w:val="12"/>
              </w:numPr>
              <w:ind w:leftChars="0" w:left="482" w:hanging="482"/>
              <w:jc w:val="both"/>
            </w:pPr>
            <w:r w:rsidRPr="0037421A">
              <w:rPr>
                <w:rFonts w:eastAsia="標楷體"/>
              </w:rPr>
              <w:t>另予考績者，依評分標準折半計分。</w:t>
            </w:r>
          </w:p>
        </w:tc>
      </w:tr>
      <w:tr w:rsidR="00B77339" w:rsidRPr="00B90AC6" w:rsidTr="0037421A">
        <w:trPr>
          <w:jc w:val="center"/>
        </w:trPr>
        <w:tc>
          <w:tcPr>
            <w:tcW w:w="704" w:type="dxa"/>
            <w:vMerge/>
          </w:tcPr>
          <w:p w:rsidR="00B77339" w:rsidRPr="00B90AC6" w:rsidRDefault="00B77339" w:rsidP="00B90AC6">
            <w:pPr>
              <w:jc w:val="both"/>
              <w:rPr>
                <w:rFonts w:eastAsia="標楷體"/>
              </w:rPr>
            </w:pPr>
          </w:p>
        </w:tc>
        <w:tc>
          <w:tcPr>
            <w:tcW w:w="709" w:type="dxa"/>
            <w:vMerge/>
            <w:vAlign w:val="center"/>
          </w:tcPr>
          <w:p w:rsidR="00B77339" w:rsidRPr="00B90AC6" w:rsidRDefault="00B77339" w:rsidP="0037421A">
            <w:pPr>
              <w:jc w:val="center"/>
              <w:rPr>
                <w:rFonts w:eastAsia="標楷體"/>
              </w:rPr>
            </w:pPr>
          </w:p>
        </w:tc>
        <w:tc>
          <w:tcPr>
            <w:tcW w:w="2508" w:type="dxa"/>
            <w:vAlign w:val="center"/>
          </w:tcPr>
          <w:p w:rsidR="00B77339" w:rsidRPr="00B90AC6" w:rsidRDefault="00B77339" w:rsidP="0037421A">
            <w:pPr>
              <w:jc w:val="center"/>
              <w:rPr>
                <w:rFonts w:eastAsia="標楷體"/>
                <w:color w:val="000000"/>
                <w:kern w:val="0"/>
              </w:rPr>
            </w:pPr>
            <w:r w:rsidRPr="00B90AC6">
              <w:rPr>
                <w:rFonts w:eastAsia="標楷體"/>
                <w:color w:val="000000"/>
                <w:kern w:val="0"/>
              </w:rPr>
              <w:t>乙等</w:t>
            </w:r>
          </w:p>
        </w:tc>
        <w:tc>
          <w:tcPr>
            <w:tcW w:w="2470" w:type="dxa"/>
            <w:gridSpan w:val="2"/>
            <w:vAlign w:val="center"/>
          </w:tcPr>
          <w:p w:rsidR="00B77339" w:rsidRPr="00B90AC6" w:rsidRDefault="00B77339" w:rsidP="0037421A">
            <w:pPr>
              <w:jc w:val="center"/>
              <w:rPr>
                <w:rFonts w:eastAsia="標楷體"/>
              </w:rPr>
            </w:pPr>
            <w:r w:rsidRPr="00B90AC6">
              <w:rPr>
                <w:rFonts w:eastAsia="標楷體"/>
              </w:rPr>
              <w:t>1.6</w:t>
            </w:r>
            <w:r w:rsidRPr="00B90AC6">
              <w:rPr>
                <w:rFonts w:eastAsia="標楷體"/>
              </w:rPr>
              <w:t>分</w:t>
            </w:r>
          </w:p>
        </w:tc>
        <w:tc>
          <w:tcPr>
            <w:tcW w:w="4371" w:type="dxa"/>
            <w:vMerge/>
          </w:tcPr>
          <w:p w:rsidR="00B77339" w:rsidRPr="00B90AC6" w:rsidRDefault="00B77339" w:rsidP="00B90AC6">
            <w:pPr>
              <w:jc w:val="both"/>
              <w:rPr>
                <w:rFonts w:eastAsia="標楷體"/>
              </w:rPr>
            </w:pPr>
          </w:p>
        </w:tc>
      </w:tr>
      <w:tr w:rsidR="0037421A" w:rsidRPr="00B90AC6" w:rsidTr="00136133">
        <w:trPr>
          <w:trHeight w:val="1401"/>
          <w:jc w:val="center"/>
        </w:trPr>
        <w:tc>
          <w:tcPr>
            <w:tcW w:w="704" w:type="dxa"/>
            <w:vMerge/>
          </w:tcPr>
          <w:p w:rsidR="0037421A" w:rsidRPr="00B90AC6" w:rsidRDefault="0037421A" w:rsidP="00B90AC6">
            <w:pPr>
              <w:jc w:val="both"/>
              <w:rPr>
                <w:rFonts w:eastAsia="標楷體"/>
              </w:rPr>
            </w:pPr>
          </w:p>
        </w:tc>
        <w:tc>
          <w:tcPr>
            <w:tcW w:w="709" w:type="dxa"/>
            <w:vMerge w:val="restart"/>
            <w:vAlign w:val="center"/>
          </w:tcPr>
          <w:p w:rsidR="0037421A" w:rsidRPr="00B90AC6" w:rsidRDefault="0037421A" w:rsidP="00B90AC6">
            <w:pPr>
              <w:jc w:val="both"/>
              <w:rPr>
                <w:rFonts w:eastAsia="標楷體"/>
              </w:rPr>
            </w:pPr>
            <w:r w:rsidRPr="00B90AC6">
              <w:rPr>
                <w:rFonts w:eastAsia="標楷體"/>
              </w:rPr>
              <w:t>獎懲</w:t>
            </w:r>
          </w:p>
        </w:tc>
        <w:tc>
          <w:tcPr>
            <w:tcW w:w="2508" w:type="dxa"/>
            <w:vAlign w:val="center"/>
          </w:tcPr>
          <w:p w:rsidR="0037421A" w:rsidRPr="00B90AC6" w:rsidRDefault="0037421A" w:rsidP="00136133">
            <w:pPr>
              <w:jc w:val="center"/>
              <w:rPr>
                <w:rFonts w:eastAsia="標楷體"/>
                <w:color w:val="000000"/>
                <w:kern w:val="0"/>
              </w:rPr>
            </w:pPr>
            <w:r w:rsidRPr="00B90AC6">
              <w:rPr>
                <w:rFonts w:eastAsia="標楷體"/>
              </w:rPr>
              <w:t>嘉獎（申誡）</w:t>
            </w:r>
            <w:r w:rsidRPr="00B90AC6">
              <w:rPr>
                <w:rFonts w:eastAsia="標楷體"/>
              </w:rPr>
              <w:t>1</w:t>
            </w:r>
            <w:r w:rsidRPr="00B90AC6">
              <w:rPr>
                <w:rFonts w:eastAsia="標楷體"/>
              </w:rPr>
              <w:t>次</w:t>
            </w:r>
          </w:p>
        </w:tc>
        <w:tc>
          <w:tcPr>
            <w:tcW w:w="2470" w:type="dxa"/>
            <w:gridSpan w:val="2"/>
            <w:vAlign w:val="center"/>
          </w:tcPr>
          <w:p w:rsidR="0037421A" w:rsidRPr="00B90AC6" w:rsidRDefault="0037421A" w:rsidP="00136133">
            <w:pPr>
              <w:jc w:val="center"/>
              <w:rPr>
                <w:rFonts w:eastAsia="標楷體"/>
              </w:rPr>
            </w:pPr>
            <w:r w:rsidRPr="00B90AC6">
              <w:rPr>
                <w:rFonts w:eastAsia="標楷體"/>
              </w:rPr>
              <w:t>0.1</w:t>
            </w:r>
            <w:r w:rsidRPr="00B90AC6">
              <w:rPr>
                <w:rFonts w:eastAsia="標楷體"/>
              </w:rPr>
              <w:t>分</w:t>
            </w:r>
          </w:p>
        </w:tc>
        <w:tc>
          <w:tcPr>
            <w:tcW w:w="4371" w:type="dxa"/>
            <w:vMerge w:val="restart"/>
          </w:tcPr>
          <w:p w:rsidR="0037421A" w:rsidRPr="00136133" w:rsidRDefault="0037421A" w:rsidP="00136133">
            <w:pPr>
              <w:pStyle w:val="a4"/>
              <w:numPr>
                <w:ilvl w:val="0"/>
                <w:numId w:val="13"/>
              </w:numPr>
              <w:ind w:leftChars="0"/>
              <w:jc w:val="both"/>
              <w:rPr>
                <w:rFonts w:eastAsia="標楷體"/>
              </w:rPr>
            </w:pPr>
            <w:r w:rsidRPr="00136133">
              <w:rPr>
                <w:rFonts w:eastAsia="標楷體"/>
              </w:rPr>
              <w:t>本項配分，擬任非主管職務最高以</w:t>
            </w:r>
            <w:r w:rsidRPr="00136133">
              <w:rPr>
                <w:rFonts w:eastAsia="標楷體"/>
              </w:rPr>
              <w:t>8</w:t>
            </w:r>
            <w:r w:rsidRPr="00136133">
              <w:rPr>
                <w:rFonts w:eastAsia="標楷體"/>
              </w:rPr>
              <w:t>分為限，擬任主管職務最高以</w:t>
            </w:r>
            <w:r w:rsidRPr="00136133">
              <w:rPr>
                <w:rFonts w:eastAsia="標楷體"/>
              </w:rPr>
              <w:t>5</w:t>
            </w:r>
            <w:r w:rsidRPr="00136133">
              <w:rPr>
                <w:rFonts w:eastAsia="標楷體"/>
              </w:rPr>
              <w:t>分為限。</w:t>
            </w:r>
          </w:p>
          <w:p w:rsidR="0037421A" w:rsidRPr="00136133" w:rsidRDefault="0037421A" w:rsidP="00136133">
            <w:pPr>
              <w:pStyle w:val="a4"/>
              <w:numPr>
                <w:ilvl w:val="0"/>
                <w:numId w:val="13"/>
              </w:numPr>
              <w:ind w:leftChars="0"/>
              <w:jc w:val="both"/>
              <w:rPr>
                <w:rFonts w:eastAsia="標楷體"/>
              </w:rPr>
            </w:pPr>
            <w:r w:rsidRPr="00136133">
              <w:rPr>
                <w:rFonts w:eastAsia="標楷體"/>
              </w:rPr>
              <w:t>以最近</w:t>
            </w:r>
            <w:r w:rsidRPr="00136133">
              <w:rPr>
                <w:rFonts w:eastAsia="標楷體"/>
              </w:rPr>
              <w:t>5</w:t>
            </w:r>
            <w:r w:rsidRPr="00136133">
              <w:rPr>
                <w:rFonts w:eastAsia="標楷體"/>
              </w:rPr>
              <w:t>年內（自辦理</w:t>
            </w:r>
            <w:proofErr w:type="gramStart"/>
            <w:r w:rsidRPr="00136133">
              <w:rPr>
                <w:rFonts w:eastAsia="標楷體"/>
              </w:rPr>
              <w:t>陞</w:t>
            </w:r>
            <w:proofErr w:type="gramEnd"/>
            <w:r w:rsidRPr="00136133">
              <w:rPr>
                <w:rFonts w:eastAsia="標楷體"/>
              </w:rPr>
              <w:t>任甄審當月上溯計算）現職、同職務列等或同一陞遷序列職務期間已核定發布之獎懲為限，並按個別獎勵案件之額度核</w:t>
            </w:r>
            <w:proofErr w:type="gramStart"/>
            <w:r w:rsidRPr="00136133">
              <w:rPr>
                <w:rFonts w:eastAsia="標楷體"/>
              </w:rPr>
              <w:t>予</w:t>
            </w:r>
            <w:proofErr w:type="gramEnd"/>
            <w:r w:rsidRPr="00136133">
              <w:rPr>
                <w:rFonts w:eastAsia="標楷體"/>
              </w:rPr>
              <w:t>計分。</w:t>
            </w:r>
          </w:p>
          <w:p w:rsidR="0037421A" w:rsidRPr="00136133" w:rsidRDefault="0037421A" w:rsidP="00136133">
            <w:pPr>
              <w:pStyle w:val="a4"/>
              <w:numPr>
                <w:ilvl w:val="0"/>
                <w:numId w:val="13"/>
              </w:numPr>
              <w:ind w:leftChars="0"/>
              <w:jc w:val="both"/>
              <w:rPr>
                <w:rFonts w:eastAsia="標楷體"/>
              </w:rPr>
            </w:pPr>
            <w:r w:rsidRPr="00136133">
              <w:rPr>
                <w:rFonts w:eastAsia="標楷體"/>
              </w:rPr>
              <w:t>最近五年內（自辦理</w:t>
            </w:r>
            <w:proofErr w:type="gramStart"/>
            <w:r w:rsidRPr="00136133">
              <w:rPr>
                <w:rFonts w:eastAsia="標楷體"/>
              </w:rPr>
              <w:t>陞</w:t>
            </w:r>
            <w:proofErr w:type="gramEnd"/>
            <w:r w:rsidRPr="00136133">
              <w:rPr>
                <w:rFonts w:eastAsia="標楷體"/>
              </w:rPr>
              <w:t>任甄審當月上溯計算）曾受懲戒處分者，除依「公務人員陞遷法」第十二條規定期間不得</w:t>
            </w:r>
            <w:proofErr w:type="gramStart"/>
            <w:r w:rsidRPr="00136133">
              <w:rPr>
                <w:rFonts w:eastAsia="標楷體"/>
              </w:rPr>
              <w:t>陞任</w:t>
            </w:r>
            <w:proofErr w:type="gramEnd"/>
            <w:r w:rsidRPr="00136133">
              <w:rPr>
                <w:rFonts w:eastAsia="標楷體"/>
              </w:rPr>
              <w:t>外，「申誡」比照「記過</w:t>
            </w:r>
            <w:r w:rsidRPr="00136133">
              <w:rPr>
                <w:rFonts w:eastAsia="標楷體"/>
              </w:rPr>
              <w:t>1</w:t>
            </w:r>
            <w:r w:rsidRPr="00136133">
              <w:rPr>
                <w:rFonts w:eastAsia="標楷體"/>
              </w:rPr>
              <w:t>次」減</w:t>
            </w:r>
            <w:r w:rsidRPr="00136133">
              <w:rPr>
                <w:rFonts w:eastAsia="標楷體"/>
              </w:rPr>
              <w:t>0.5</w:t>
            </w:r>
            <w:r w:rsidRPr="00136133">
              <w:rPr>
                <w:rFonts w:eastAsia="標楷體"/>
              </w:rPr>
              <w:t>分，「記過」、「罰款」、「減俸」比照「記過</w:t>
            </w:r>
            <w:r w:rsidRPr="00136133">
              <w:rPr>
                <w:rFonts w:eastAsia="標楷體"/>
              </w:rPr>
              <w:t>2</w:t>
            </w:r>
            <w:r w:rsidRPr="00136133">
              <w:rPr>
                <w:rFonts w:eastAsia="標楷體"/>
              </w:rPr>
              <w:t>次」減</w:t>
            </w:r>
            <w:r w:rsidRPr="00136133">
              <w:rPr>
                <w:rFonts w:eastAsia="標楷體"/>
              </w:rPr>
              <w:t>1.2</w:t>
            </w:r>
            <w:r w:rsidRPr="00136133">
              <w:rPr>
                <w:rFonts w:eastAsia="標楷體"/>
              </w:rPr>
              <w:t>分，「降級」、「休職」比照「記大過</w:t>
            </w:r>
            <w:r w:rsidRPr="00136133">
              <w:rPr>
                <w:rFonts w:eastAsia="標楷體"/>
              </w:rPr>
              <w:t>1</w:t>
            </w:r>
            <w:r w:rsidRPr="00136133">
              <w:rPr>
                <w:rFonts w:eastAsia="標楷體"/>
              </w:rPr>
              <w:t>次」減</w:t>
            </w:r>
            <w:r w:rsidRPr="00136133">
              <w:rPr>
                <w:rFonts w:eastAsia="標楷體"/>
              </w:rPr>
              <w:t>2</w:t>
            </w:r>
            <w:r w:rsidRPr="00136133">
              <w:rPr>
                <w:rFonts w:eastAsia="標楷體"/>
              </w:rPr>
              <w:t>分；如有</w:t>
            </w:r>
            <w:proofErr w:type="gramStart"/>
            <w:r w:rsidRPr="00136133">
              <w:rPr>
                <w:rFonts w:eastAsia="標楷體"/>
              </w:rPr>
              <w:t>併</w:t>
            </w:r>
            <w:proofErr w:type="gramEnd"/>
            <w:r w:rsidRPr="00136133">
              <w:rPr>
                <w:rFonts w:eastAsia="標楷體"/>
              </w:rPr>
              <w:t>為處分之情形時，擇一從重減分。</w:t>
            </w:r>
            <w:r w:rsidRPr="00136133">
              <w:rPr>
                <w:rFonts w:eastAsia="標楷體"/>
              </w:rPr>
              <w:t xml:space="preserve"> </w:t>
            </w:r>
          </w:p>
          <w:p w:rsidR="0037421A" w:rsidRPr="00B90AC6" w:rsidRDefault="0037421A" w:rsidP="00136133">
            <w:pPr>
              <w:pStyle w:val="a4"/>
              <w:numPr>
                <w:ilvl w:val="0"/>
                <w:numId w:val="13"/>
              </w:numPr>
              <w:ind w:leftChars="0"/>
              <w:jc w:val="both"/>
            </w:pPr>
            <w:r w:rsidRPr="00136133">
              <w:rPr>
                <w:rFonts w:eastAsia="標楷體"/>
              </w:rPr>
              <w:t>按左列標準</w:t>
            </w:r>
            <w:proofErr w:type="gramStart"/>
            <w:r w:rsidRPr="00136133">
              <w:rPr>
                <w:rFonts w:eastAsia="標楷體"/>
              </w:rPr>
              <w:t>獎加懲減</w:t>
            </w:r>
            <w:proofErr w:type="gramEnd"/>
            <w:r w:rsidRPr="00136133">
              <w:rPr>
                <w:rFonts w:eastAsia="標楷體"/>
              </w:rPr>
              <w:t>，其結果如產生負分時，</w:t>
            </w:r>
            <w:proofErr w:type="gramStart"/>
            <w:r w:rsidRPr="00136133">
              <w:rPr>
                <w:rFonts w:eastAsia="標楷體"/>
              </w:rPr>
              <w:t>應倒</w:t>
            </w:r>
            <w:proofErr w:type="gramEnd"/>
            <w:r w:rsidRPr="00136133">
              <w:rPr>
                <w:rFonts w:eastAsia="標楷體"/>
              </w:rPr>
              <w:t>扣總分。</w:t>
            </w:r>
          </w:p>
        </w:tc>
      </w:tr>
      <w:tr w:rsidR="0037421A" w:rsidRPr="00B90AC6" w:rsidTr="00136133">
        <w:trPr>
          <w:trHeight w:val="1264"/>
          <w:jc w:val="center"/>
        </w:trPr>
        <w:tc>
          <w:tcPr>
            <w:tcW w:w="704" w:type="dxa"/>
            <w:vMerge/>
          </w:tcPr>
          <w:p w:rsidR="0037421A" w:rsidRPr="00B90AC6" w:rsidRDefault="0037421A" w:rsidP="00B90AC6">
            <w:pPr>
              <w:jc w:val="both"/>
              <w:rPr>
                <w:rFonts w:eastAsia="標楷體"/>
              </w:rPr>
            </w:pPr>
          </w:p>
        </w:tc>
        <w:tc>
          <w:tcPr>
            <w:tcW w:w="709" w:type="dxa"/>
            <w:vMerge/>
          </w:tcPr>
          <w:p w:rsidR="0037421A" w:rsidRPr="00B90AC6" w:rsidRDefault="0037421A" w:rsidP="00B90AC6">
            <w:pPr>
              <w:jc w:val="both"/>
              <w:rPr>
                <w:rFonts w:eastAsia="標楷體"/>
              </w:rPr>
            </w:pPr>
          </w:p>
        </w:tc>
        <w:tc>
          <w:tcPr>
            <w:tcW w:w="2508" w:type="dxa"/>
            <w:vAlign w:val="center"/>
          </w:tcPr>
          <w:p w:rsidR="0037421A" w:rsidRPr="00B90AC6" w:rsidRDefault="0037421A" w:rsidP="00136133">
            <w:pPr>
              <w:jc w:val="center"/>
              <w:rPr>
                <w:rFonts w:eastAsia="標楷體"/>
                <w:color w:val="000000"/>
                <w:kern w:val="0"/>
              </w:rPr>
            </w:pPr>
            <w:r w:rsidRPr="00B90AC6">
              <w:rPr>
                <w:rFonts w:eastAsia="標楷體"/>
              </w:rPr>
              <w:t>嘉獎（申誡）</w:t>
            </w:r>
            <w:r w:rsidRPr="00B90AC6">
              <w:rPr>
                <w:rFonts w:eastAsia="標楷體"/>
              </w:rPr>
              <w:t>2</w:t>
            </w:r>
            <w:r w:rsidRPr="00B90AC6">
              <w:rPr>
                <w:rFonts w:eastAsia="標楷體"/>
              </w:rPr>
              <w:t>次</w:t>
            </w:r>
          </w:p>
        </w:tc>
        <w:tc>
          <w:tcPr>
            <w:tcW w:w="2470" w:type="dxa"/>
            <w:gridSpan w:val="2"/>
            <w:vAlign w:val="center"/>
          </w:tcPr>
          <w:p w:rsidR="0037421A" w:rsidRPr="00B90AC6" w:rsidRDefault="0037421A" w:rsidP="00136133">
            <w:pPr>
              <w:jc w:val="center"/>
              <w:rPr>
                <w:rFonts w:eastAsia="標楷體"/>
              </w:rPr>
            </w:pPr>
            <w:r w:rsidRPr="00B90AC6">
              <w:rPr>
                <w:rFonts w:eastAsia="標楷體"/>
              </w:rPr>
              <w:t>0.3</w:t>
            </w:r>
            <w:r w:rsidRPr="00B90AC6">
              <w:rPr>
                <w:rFonts w:eastAsia="標楷體"/>
              </w:rPr>
              <w:t>分</w:t>
            </w:r>
          </w:p>
        </w:tc>
        <w:tc>
          <w:tcPr>
            <w:tcW w:w="4371" w:type="dxa"/>
            <w:vMerge/>
          </w:tcPr>
          <w:p w:rsidR="0037421A" w:rsidRPr="00B90AC6" w:rsidRDefault="0037421A" w:rsidP="00B90AC6">
            <w:pPr>
              <w:jc w:val="both"/>
              <w:rPr>
                <w:rFonts w:eastAsia="標楷體"/>
              </w:rPr>
            </w:pPr>
          </w:p>
        </w:tc>
      </w:tr>
      <w:tr w:rsidR="0037421A" w:rsidRPr="00B90AC6" w:rsidTr="00136133">
        <w:trPr>
          <w:trHeight w:val="1268"/>
          <w:jc w:val="center"/>
        </w:trPr>
        <w:tc>
          <w:tcPr>
            <w:tcW w:w="704" w:type="dxa"/>
            <w:vMerge/>
          </w:tcPr>
          <w:p w:rsidR="0037421A" w:rsidRPr="00B90AC6" w:rsidRDefault="0037421A" w:rsidP="00B90AC6">
            <w:pPr>
              <w:jc w:val="both"/>
              <w:rPr>
                <w:rFonts w:eastAsia="標楷體"/>
              </w:rPr>
            </w:pPr>
          </w:p>
        </w:tc>
        <w:tc>
          <w:tcPr>
            <w:tcW w:w="709" w:type="dxa"/>
            <w:vMerge/>
          </w:tcPr>
          <w:p w:rsidR="0037421A" w:rsidRPr="00B90AC6" w:rsidRDefault="0037421A" w:rsidP="00B90AC6">
            <w:pPr>
              <w:jc w:val="both"/>
              <w:rPr>
                <w:rFonts w:eastAsia="標楷體"/>
              </w:rPr>
            </w:pPr>
          </w:p>
        </w:tc>
        <w:tc>
          <w:tcPr>
            <w:tcW w:w="2508" w:type="dxa"/>
            <w:vAlign w:val="center"/>
          </w:tcPr>
          <w:p w:rsidR="0037421A" w:rsidRPr="00B90AC6" w:rsidRDefault="0037421A" w:rsidP="00136133">
            <w:pPr>
              <w:jc w:val="center"/>
              <w:rPr>
                <w:rFonts w:eastAsia="標楷體"/>
                <w:color w:val="000000"/>
                <w:kern w:val="0"/>
              </w:rPr>
            </w:pPr>
            <w:r w:rsidRPr="00B90AC6">
              <w:rPr>
                <w:rFonts w:eastAsia="標楷體"/>
              </w:rPr>
              <w:t>記功（記過）</w:t>
            </w:r>
            <w:r w:rsidRPr="00B90AC6">
              <w:rPr>
                <w:rFonts w:eastAsia="標楷體"/>
              </w:rPr>
              <w:t>1</w:t>
            </w:r>
            <w:r w:rsidRPr="00B90AC6">
              <w:rPr>
                <w:rFonts w:eastAsia="標楷體"/>
              </w:rPr>
              <w:t>次</w:t>
            </w:r>
          </w:p>
        </w:tc>
        <w:tc>
          <w:tcPr>
            <w:tcW w:w="2470" w:type="dxa"/>
            <w:gridSpan w:val="2"/>
            <w:vAlign w:val="center"/>
          </w:tcPr>
          <w:p w:rsidR="0037421A" w:rsidRPr="00B90AC6" w:rsidRDefault="0037421A" w:rsidP="00136133">
            <w:pPr>
              <w:jc w:val="center"/>
              <w:rPr>
                <w:rFonts w:eastAsia="標楷體"/>
              </w:rPr>
            </w:pPr>
            <w:r w:rsidRPr="00B90AC6">
              <w:rPr>
                <w:rFonts w:eastAsia="標楷體"/>
              </w:rPr>
              <w:t>0.5</w:t>
            </w:r>
            <w:r w:rsidRPr="00B90AC6">
              <w:rPr>
                <w:rFonts w:eastAsia="標楷體"/>
              </w:rPr>
              <w:t>分</w:t>
            </w:r>
          </w:p>
        </w:tc>
        <w:tc>
          <w:tcPr>
            <w:tcW w:w="4371" w:type="dxa"/>
            <w:vMerge/>
          </w:tcPr>
          <w:p w:rsidR="0037421A" w:rsidRPr="00B90AC6" w:rsidRDefault="0037421A" w:rsidP="00B90AC6">
            <w:pPr>
              <w:jc w:val="both"/>
              <w:rPr>
                <w:rFonts w:eastAsia="標楷體"/>
              </w:rPr>
            </w:pPr>
          </w:p>
        </w:tc>
      </w:tr>
      <w:tr w:rsidR="0037421A" w:rsidRPr="00B90AC6" w:rsidTr="00136133">
        <w:trPr>
          <w:trHeight w:val="1402"/>
          <w:jc w:val="center"/>
        </w:trPr>
        <w:tc>
          <w:tcPr>
            <w:tcW w:w="704" w:type="dxa"/>
            <w:vMerge/>
          </w:tcPr>
          <w:p w:rsidR="0037421A" w:rsidRPr="00B90AC6" w:rsidRDefault="0037421A" w:rsidP="00B90AC6">
            <w:pPr>
              <w:jc w:val="both"/>
              <w:rPr>
                <w:rFonts w:eastAsia="標楷體"/>
              </w:rPr>
            </w:pPr>
          </w:p>
        </w:tc>
        <w:tc>
          <w:tcPr>
            <w:tcW w:w="709" w:type="dxa"/>
            <w:vMerge/>
          </w:tcPr>
          <w:p w:rsidR="0037421A" w:rsidRPr="00B90AC6" w:rsidRDefault="0037421A" w:rsidP="00B90AC6">
            <w:pPr>
              <w:jc w:val="both"/>
              <w:rPr>
                <w:rFonts w:eastAsia="標楷體"/>
              </w:rPr>
            </w:pPr>
          </w:p>
        </w:tc>
        <w:tc>
          <w:tcPr>
            <w:tcW w:w="2508" w:type="dxa"/>
            <w:vAlign w:val="center"/>
          </w:tcPr>
          <w:p w:rsidR="0037421A" w:rsidRPr="00B90AC6" w:rsidRDefault="0037421A" w:rsidP="00136133">
            <w:pPr>
              <w:jc w:val="center"/>
              <w:rPr>
                <w:rFonts w:eastAsia="標楷體"/>
                <w:color w:val="000000"/>
                <w:kern w:val="0"/>
              </w:rPr>
            </w:pPr>
            <w:r w:rsidRPr="00B90AC6">
              <w:rPr>
                <w:rFonts w:eastAsia="標楷體"/>
              </w:rPr>
              <w:t>記功（記過）</w:t>
            </w:r>
            <w:r w:rsidRPr="00B90AC6">
              <w:rPr>
                <w:rFonts w:eastAsia="標楷體"/>
              </w:rPr>
              <w:t>2</w:t>
            </w:r>
            <w:r w:rsidRPr="00B90AC6">
              <w:rPr>
                <w:rFonts w:eastAsia="標楷體"/>
              </w:rPr>
              <w:t>次</w:t>
            </w:r>
          </w:p>
        </w:tc>
        <w:tc>
          <w:tcPr>
            <w:tcW w:w="2470" w:type="dxa"/>
            <w:gridSpan w:val="2"/>
            <w:vAlign w:val="center"/>
          </w:tcPr>
          <w:p w:rsidR="0037421A" w:rsidRPr="00B90AC6" w:rsidRDefault="0037421A" w:rsidP="00136133">
            <w:pPr>
              <w:jc w:val="center"/>
              <w:rPr>
                <w:rFonts w:eastAsia="標楷體"/>
              </w:rPr>
            </w:pPr>
            <w:r w:rsidRPr="00B90AC6">
              <w:rPr>
                <w:rFonts w:eastAsia="標楷體"/>
              </w:rPr>
              <w:t>1.2</w:t>
            </w:r>
            <w:r w:rsidRPr="00B90AC6">
              <w:rPr>
                <w:rFonts w:eastAsia="標楷體"/>
              </w:rPr>
              <w:t>分</w:t>
            </w:r>
          </w:p>
        </w:tc>
        <w:tc>
          <w:tcPr>
            <w:tcW w:w="4371" w:type="dxa"/>
            <w:vMerge/>
          </w:tcPr>
          <w:p w:rsidR="0037421A" w:rsidRPr="00B90AC6" w:rsidRDefault="0037421A" w:rsidP="00B90AC6">
            <w:pPr>
              <w:jc w:val="both"/>
              <w:rPr>
                <w:rFonts w:eastAsia="標楷體"/>
              </w:rPr>
            </w:pPr>
          </w:p>
        </w:tc>
      </w:tr>
      <w:tr w:rsidR="0037421A" w:rsidRPr="00B90AC6" w:rsidTr="00136133">
        <w:trPr>
          <w:jc w:val="center"/>
        </w:trPr>
        <w:tc>
          <w:tcPr>
            <w:tcW w:w="704" w:type="dxa"/>
            <w:vMerge/>
          </w:tcPr>
          <w:p w:rsidR="0037421A" w:rsidRPr="00B90AC6" w:rsidRDefault="0037421A" w:rsidP="00B90AC6">
            <w:pPr>
              <w:jc w:val="both"/>
              <w:rPr>
                <w:rFonts w:eastAsia="標楷體"/>
              </w:rPr>
            </w:pPr>
          </w:p>
        </w:tc>
        <w:tc>
          <w:tcPr>
            <w:tcW w:w="709" w:type="dxa"/>
            <w:vMerge/>
          </w:tcPr>
          <w:p w:rsidR="0037421A" w:rsidRPr="00B90AC6" w:rsidRDefault="0037421A" w:rsidP="00B90AC6">
            <w:pPr>
              <w:jc w:val="both"/>
              <w:rPr>
                <w:rFonts w:eastAsia="標楷體"/>
              </w:rPr>
            </w:pPr>
          </w:p>
        </w:tc>
        <w:tc>
          <w:tcPr>
            <w:tcW w:w="2508" w:type="dxa"/>
            <w:vAlign w:val="center"/>
          </w:tcPr>
          <w:p w:rsidR="0037421A" w:rsidRPr="00B90AC6" w:rsidRDefault="0037421A" w:rsidP="00136133">
            <w:pPr>
              <w:jc w:val="center"/>
              <w:rPr>
                <w:rFonts w:eastAsia="標楷體"/>
                <w:color w:val="000000"/>
                <w:kern w:val="0"/>
              </w:rPr>
            </w:pPr>
            <w:r w:rsidRPr="00B90AC6">
              <w:rPr>
                <w:rFonts w:eastAsia="標楷體"/>
              </w:rPr>
              <w:t>記大功（記大過）</w:t>
            </w:r>
            <w:r w:rsidRPr="00B90AC6">
              <w:rPr>
                <w:rFonts w:eastAsia="標楷體"/>
              </w:rPr>
              <w:t>1</w:t>
            </w:r>
            <w:r w:rsidRPr="00B90AC6">
              <w:rPr>
                <w:rFonts w:eastAsia="標楷體"/>
              </w:rPr>
              <w:t>次</w:t>
            </w:r>
          </w:p>
        </w:tc>
        <w:tc>
          <w:tcPr>
            <w:tcW w:w="2470" w:type="dxa"/>
            <w:gridSpan w:val="2"/>
            <w:vAlign w:val="center"/>
          </w:tcPr>
          <w:p w:rsidR="0037421A" w:rsidRPr="00B90AC6" w:rsidRDefault="0037421A" w:rsidP="00136133">
            <w:pPr>
              <w:jc w:val="center"/>
              <w:rPr>
                <w:rFonts w:eastAsia="標楷體"/>
              </w:rPr>
            </w:pPr>
            <w:r w:rsidRPr="00B90AC6">
              <w:rPr>
                <w:rFonts w:eastAsia="標楷體"/>
              </w:rPr>
              <w:t>2</w:t>
            </w:r>
            <w:r w:rsidRPr="00B90AC6">
              <w:rPr>
                <w:rFonts w:eastAsia="標楷體"/>
              </w:rPr>
              <w:t>分</w:t>
            </w:r>
          </w:p>
        </w:tc>
        <w:tc>
          <w:tcPr>
            <w:tcW w:w="4371" w:type="dxa"/>
            <w:vMerge/>
          </w:tcPr>
          <w:p w:rsidR="0037421A" w:rsidRPr="00B90AC6" w:rsidRDefault="0037421A" w:rsidP="00B90AC6">
            <w:pPr>
              <w:jc w:val="both"/>
              <w:rPr>
                <w:rFonts w:eastAsia="標楷體"/>
              </w:rPr>
            </w:pPr>
          </w:p>
        </w:tc>
      </w:tr>
      <w:tr w:rsidR="00B77339" w:rsidRPr="00B90AC6" w:rsidTr="00136133">
        <w:trPr>
          <w:jc w:val="center"/>
        </w:trPr>
        <w:tc>
          <w:tcPr>
            <w:tcW w:w="704" w:type="dxa"/>
            <w:vMerge/>
          </w:tcPr>
          <w:p w:rsidR="00B77339" w:rsidRPr="00B90AC6" w:rsidRDefault="00B77339" w:rsidP="00B90AC6">
            <w:pPr>
              <w:jc w:val="both"/>
              <w:rPr>
                <w:rFonts w:eastAsia="標楷體"/>
              </w:rPr>
            </w:pPr>
          </w:p>
        </w:tc>
        <w:tc>
          <w:tcPr>
            <w:tcW w:w="709" w:type="dxa"/>
            <w:vAlign w:val="center"/>
          </w:tcPr>
          <w:p w:rsidR="00B77339" w:rsidRPr="00B90AC6" w:rsidRDefault="00B77339" w:rsidP="00136133">
            <w:pPr>
              <w:jc w:val="center"/>
              <w:rPr>
                <w:rFonts w:eastAsia="標楷體"/>
              </w:rPr>
            </w:pPr>
            <w:r w:rsidRPr="00B90AC6">
              <w:rPr>
                <w:rFonts w:eastAsia="標楷體"/>
              </w:rPr>
              <w:t>重大殊榮</w:t>
            </w:r>
          </w:p>
        </w:tc>
        <w:tc>
          <w:tcPr>
            <w:tcW w:w="2508" w:type="dxa"/>
            <w:vAlign w:val="center"/>
          </w:tcPr>
          <w:p w:rsidR="00B77339" w:rsidRPr="00B90AC6" w:rsidRDefault="00B77339" w:rsidP="00136133">
            <w:pPr>
              <w:jc w:val="both"/>
              <w:rPr>
                <w:rFonts w:eastAsia="標楷體"/>
              </w:rPr>
            </w:pPr>
            <w:r w:rsidRPr="00B90AC6">
              <w:rPr>
                <w:rFonts w:eastAsia="標楷體"/>
              </w:rPr>
              <w:t>專案考績一次記二大功、功績獎章、楷模獎章、專業獎章（不含依服務年資頒給者）、勳章、公務人員傑出貢獻獎個人獎、模範公務人員或依其他法律規定具有得優先</w:t>
            </w:r>
            <w:proofErr w:type="gramStart"/>
            <w:r w:rsidRPr="00B90AC6">
              <w:rPr>
                <w:rFonts w:eastAsia="標楷體"/>
              </w:rPr>
              <w:t>陞</w:t>
            </w:r>
            <w:proofErr w:type="gramEnd"/>
            <w:r w:rsidRPr="00B90AC6">
              <w:rPr>
                <w:rFonts w:eastAsia="標楷體"/>
              </w:rPr>
              <w:t>任之重大殊榮。</w:t>
            </w:r>
          </w:p>
        </w:tc>
        <w:tc>
          <w:tcPr>
            <w:tcW w:w="2470" w:type="dxa"/>
            <w:gridSpan w:val="2"/>
            <w:vAlign w:val="center"/>
          </w:tcPr>
          <w:p w:rsidR="00B77339" w:rsidRPr="00B90AC6" w:rsidRDefault="00B77339" w:rsidP="00136133">
            <w:pPr>
              <w:jc w:val="center"/>
              <w:rPr>
                <w:rFonts w:eastAsia="標楷體"/>
              </w:rPr>
            </w:pPr>
            <w:r w:rsidRPr="00B90AC6">
              <w:rPr>
                <w:rFonts w:eastAsia="標楷體"/>
              </w:rPr>
              <w:t>5</w:t>
            </w:r>
            <w:r w:rsidRPr="00B90AC6">
              <w:rPr>
                <w:rFonts w:eastAsia="標楷體"/>
              </w:rPr>
              <w:t>分</w:t>
            </w:r>
          </w:p>
        </w:tc>
        <w:tc>
          <w:tcPr>
            <w:tcW w:w="4371" w:type="dxa"/>
            <w:vAlign w:val="center"/>
          </w:tcPr>
          <w:p w:rsidR="00B77339" w:rsidRPr="00B90AC6" w:rsidRDefault="00B77339" w:rsidP="00136133">
            <w:pPr>
              <w:jc w:val="both"/>
              <w:rPr>
                <w:rFonts w:eastAsia="標楷體"/>
              </w:rPr>
            </w:pPr>
            <w:r w:rsidRPr="00B90AC6">
              <w:rPr>
                <w:rFonts w:eastAsia="標楷體"/>
              </w:rPr>
              <w:t>以最近</w:t>
            </w:r>
            <w:r w:rsidRPr="00B90AC6">
              <w:rPr>
                <w:rFonts w:eastAsia="標楷體"/>
              </w:rPr>
              <w:t>5</w:t>
            </w:r>
            <w:r w:rsidRPr="00B90AC6">
              <w:rPr>
                <w:rFonts w:eastAsia="標楷體"/>
              </w:rPr>
              <w:t>年內（自辦理</w:t>
            </w:r>
            <w:proofErr w:type="gramStart"/>
            <w:r w:rsidRPr="00B90AC6">
              <w:rPr>
                <w:rFonts w:eastAsia="標楷體"/>
              </w:rPr>
              <w:t>陞</w:t>
            </w:r>
            <w:proofErr w:type="gramEnd"/>
            <w:r w:rsidRPr="00B90AC6">
              <w:rPr>
                <w:rFonts w:eastAsia="標楷體"/>
              </w:rPr>
              <w:t>任甄審當月上溯計算）現職、同職務列等或同一陞遷序列職務期間已核頒（定）者為限，且不分</w:t>
            </w:r>
            <w:proofErr w:type="gramStart"/>
            <w:r w:rsidRPr="00B90AC6">
              <w:rPr>
                <w:rFonts w:eastAsia="標楷體"/>
              </w:rPr>
              <w:t>次數均核</w:t>
            </w:r>
            <w:proofErr w:type="gramEnd"/>
            <w:r w:rsidRPr="00B90AC6">
              <w:rPr>
                <w:rFonts w:eastAsia="標楷體"/>
              </w:rPr>
              <w:t>予</w:t>
            </w:r>
            <w:r w:rsidRPr="00B90AC6">
              <w:rPr>
                <w:rFonts w:eastAsia="標楷體"/>
              </w:rPr>
              <w:t>5</w:t>
            </w:r>
            <w:r w:rsidRPr="00B90AC6">
              <w:rPr>
                <w:rFonts w:eastAsia="標楷體"/>
              </w:rPr>
              <w:t>分。</w:t>
            </w:r>
          </w:p>
        </w:tc>
      </w:tr>
      <w:tr w:rsidR="00B77339" w:rsidRPr="00B90AC6" w:rsidTr="00136133">
        <w:trPr>
          <w:jc w:val="center"/>
        </w:trPr>
        <w:tc>
          <w:tcPr>
            <w:tcW w:w="704" w:type="dxa"/>
            <w:vMerge/>
          </w:tcPr>
          <w:p w:rsidR="00B77339" w:rsidRPr="00B90AC6" w:rsidRDefault="00B77339" w:rsidP="00B90AC6">
            <w:pPr>
              <w:jc w:val="both"/>
              <w:rPr>
                <w:rFonts w:eastAsia="標楷體"/>
              </w:rPr>
            </w:pPr>
          </w:p>
        </w:tc>
        <w:tc>
          <w:tcPr>
            <w:tcW w:w="709" w:type="dxa"/>
            <w:vAlign w:val="center"/>
          </w:tcPr>
          <w:p w:rsidR="00B77339" w:rsidRPr="00B90AC6" w:rsidRDefault="00B77339" w:rsidP="00136133">
            <w:pPr>
              <w:jc w:val="both"/>
              <w:rPr>
                <w:rFonts w:eastAsia="標楷體"/>
              </w:rPr>
            </w:pPr>
            <w:r w:rsidRPr="00B90AC6">
              <w:rPr>
                <w:rFonts w:eastAsia="標楷體"/>
              </w:rPr>
              <w:t>工作表現</w:t>
            </w:r>
          </w:p>
        </w:tc>
        <w:tc>
          <w:tcPr>
            <w:tcW w:w="2508" w:type="dxa"/>
            <w:vAlign w:val="center"/>
          </w:tcPr>
          <w:p w:rsidR="00B77339" w:rsidRPr="00B90AC6" w:rsidRDefault="00B77339" w:rsidP="00136133">
            <w:pPr>
              <w:pStyle w:val="TableParagraph"/>
              <w:kinsoku w:val="0"/>
              <w:overflowPunct w:val="0"/>
              <w:snapToGrid w:val="0"/>
              <w:spacing w:line="340" w:lineRule="exact"/>
              <w:jc w:val="both"/>
              <w:rPr>
                <w:rFonts w:ascii="Times New Roman" w:cs="Times New Roman"/>
              </w:rPr>
            </w:pPr>
            <w:r w:rsidRPr="00B90AC6">
              <w:rPr>
                <w:rFonts w:ascii="Times New Roman" w:cs="Times New Roman"/>
              </w:rPr>
              <w:t>平時工作知能、公文績效、簡化流程、服務態度、年度工作計畫等具體表現。</w:t>
            </w:r>
          </w:p>
        </w:tc>
        <w:tc>
          <w:tcPr>
            <w:tcW w:w="1177" w:type="dxa"/>
            <w:vAlign w:val="center"/>
          </w:tcPr>
          <w:p w:rsidR="00B77339" w:rsidRPr="00B90AC6" w:rsidRDefault="00B77339" w:rsidP="00136133">
            <w:pPr>
              <w:jc w:val="center"/>
              <w:rPr>
                <w:rFonts w:eastAsia="標楷體"/>
              </w:rPr>
            </w:pPr>
            <w:r w:rsidRPr="00B90AC6">
              <w:rPr>
                <w:rFonts w:eastAsia="標楷體"/>
              </w:rPr>
              <w:t>15</w:t>
            </w:r>
            <w:r w:rsidRPr="00B90AC6">
              <w:rPr>
                <w:rFonts w:eastAsia="標楷體"/>
              </w:rPr>
              <w:t>分</w:t>
            </w:r>
          </w:p>
        </w:tc>
        <w:tc>
          <w:tcPr>
            <w:tcW w:w="1293" w:type="dxa"/>
            <w:vAlign w:val="center"/>
          </w:tcPr>
          <w:p w:rsidR="00B77339" w:rsidRPr="00B90AC6" w:rsidRDefault="00B77339" w:rsidP="00136133">
            <w:pPr>
              <w:jc w:val="center"/>
              <w:rPr>
                <w:rFonts w:eastAsia="標楷體"/>
              </w:rPr>
            </w:pPr>
            <w:r w:rsidRPr="00B90AC6">
              <w:rPr>
                <w:rFonts w:eastAsia="標楷體"/>
              </w:rPr>
              <w:t>8</w:t>
            </w:r>
            <w:r w:rsidRPr="00B90AC6">
              <w:rPr>
                <w:rFonts w:eastAsia="標楷體"/>
              </w:rPr>
              <w:t>分</w:t>
            </w:r>
          </w:p>
        </w:tc>
        <w:tc>
          <w:tcPr>
            <w:tcW w:w="4371" w:type="dxa"/>
            <w:vAlign w:val="center"/>
          </w:tcPr>
          <w:p w:rsidR="00B77339" w:rsidRPr="00B90AC6" w:rsidRDefault="00B77339" w:rsidP="00136133">
            <w:pPr>
              <w:pStyle w:val="Default"/>
              <w:numPr>
                <w:ilvl w:val="0"/>
                <w:numId w:val="14"/>
              </w:numPr>
              <w:ind w:left="510" w:hanging="482"/>
              <w:jc w:val="both"/>
              <w:rPr>
                <w:rFonts w:ascii="Times New Roman" w:eastAsia="標楷體" w:hAnsi="Times New Roman" w:cs="Times New Roman"/>
              </w:rPr>
            </w:pPr>
            <w:r w:rsidRPr="00B90AC6">
              <w:rPr>
                <w:rFonts w:ascii="Times New Roman" w:eastAsia="標楷體" w:hAnsi="Times New Roman" w:cs="Times New Roman"/>
              </w:rPr>
              <w:t>以最近五年內（自辦理</w:t>
            </w:r>
            <w:proofErr w:type="gramStart"/>
            <w:r w:rsidRPr="00B90AC6">
              <w:rPr>
                <w:rFonts w:ascii="Times New Roman" w:eastAsia="標楷體" w:hAnsi="Times New Roman" w:cs="Times New Roman"/>
              </w:rPr>
              <w:t>陞</w:t>
            </w:r>
            <w:proofErr w:type="gramEnd"/>
            <w:r w:rsidRPr="00B90AC6">
              <w:rPr>
                <w:rFonts w:ascii="Times New Roman" w:eastAsia="標楷體" w:hAnsi="Times New Roman" w:cs="Times New Roman"/>
              </w:rPr>
              <w:t>任甄審當月上溯計算）現職、同職務列等或同一陞遷序列職務期間之工作表現為限，由現職單位主管就受考人之工作表現評分標準綜合評分。</w:t>
            </w:r>
          </w:p>
          <w:p w:rsidR="00B77339" w:rsidRPr="00B90AC6" w:rsidRDefault="00B77339" w:rsidP="00136133">
            <w:pPr>
              <w:pStyle w:val="Default"/>
              <w:numPr>
                <w:ilvl w:val="0"/>
                <w:numId w:val="14"/>
              </w:numPr>
              <w:ind w:left="510" w:hanging="482"/>
              <w:jc w:val="both"/>
              <w:rPr>
                <w:rFonts w:ascii="Times New Roman" w:eastAsia="標楷體" w:hAnsi="Times New Roman" w:cs="Times New Roman"/>
              </w:rPr>
            </w:pPr>
            <w:r w:rsidRPr="00B90AC6">
              <w:rPr>
                <w:rFonts w:ascii="Times New Roman" w:eastAsia="標楷體" w:hAnsi="Times New Roman" w:cs="Times New Roman"/>
              </w:rPr>
              <w:t>擬任非主管職務最高以</w:t>
            </w:r>
            <w:r w:rsidRPr="00B90AC6">
              <w:rPr>
                <w:rFonts w:ascii="Times New Roman" w:eastAsia="標楷體" w:hAnsi="Times New Roman" w:cs="Times New Roman"/>
              </w:rPr>
              <w:t>15</w:t>
            </w:r>
            <w:r w:rsidRPr="00B90AC6">
              <w:rPr>
                <w:rFonts w:ascii="Times New Roman" w:eastAsia="標楷體" w:hAnsi="Times New Roman" w:cs="Times New Roman"/>
              </w:rPr>
              <w:t>分為限，擬任主管職務最高以</w:t>
            </w:r>
            <w:r w:rsidRPr="00B90AC6">
              <w:rPr>
                <w:rFonts w:ascii="Times New Roman" w:eastAsia="標楷體" w:hAnsi="Times New Roman" w:cs="Times New Roman"/>
              </w:rPr>
              <w:t>8</w:t>
            </w:r>
            <w:r w:rsidRPr="00B90AC6">
              <w:rPr>
                <w:rFonts w:ascii="Times New Roman" w:eastAsia="標楷體" w:hAnsi="Times New Roman" w:cs="Times New Roman"/>
              </w:rPr>
              <w:t>分為限。</w:t>
            </w:r>
          </w:p>
        </w:tc>
      </w:tr>
      <w:tr w:rsidR="003E6759" w:rsidRPr="00B90AC6" w:rsidTr="002B489C">
        <w:trPr>
          <w:jc w:val="center"/>
        </w:trPr>
        <w:tc>
          <w:tcPr>
            <w:tcW w:w="704" w:type="dxa"/>
            <w:vMerge w:val="restart"/>
            <w:vAlign w:val="center"/>
          </w:tcPr>
          <w:p w:rsidR="003E6759" w:rsidRPr="00B90AC6" w:rsidRDefault="003E6759" w:rsidP="00B90AC6">
            <w:pPr>
              <w:jc w:val="both"/>
              <w:rPr>
                <w:rFonts w:eastAsia="標楷體"/>
              </w:rPr>
            </w:pPr>
            <w:r w:rsidRPr="00B90AC6">
              <w:rPr>
                <w:rFonts w:eastAsia="標楷體"/>
              </w:rPr>
              <w:t>職務</w:t>
            </w:r>
            <w:proofErr w:type="gramStart"/>
            <w:r w:rsidRPr="00B90AC6">
              <w:rPr>
                <w:rFonts w:eastAsia="標楷體"/>
              </w:rPr>
              <w:t>適</w:t>
            </w:r>
            <w:proofErr w:type="gramEnd"/>
            <w:r w:rsidRPr="00B90AC6">
              <w:rPr>
                <w:rFonts w:eastAsia="標楷體"/>
              </w:rPr>
              <w:t>任性</w:t>
            </w:r>
          </w:p>
        </w:tc>
        <w:tc>
          <w:tcPr>
            <w:tcW w:w="709" w:type="dxa"/>
            <w:vAlign w:val="center"/>
          </w:tcPr>
          <w:p w:rsidR="003E6759" w:rsidRPr="00B90AC6" w:rsidRDefault="003E6759" w:rsidP="00B90AC6">
            <w:pPr>
              <w:jc w:val="both"/>
              <w:rPr>
                <w:rFonts w:eastAsia="標楷體"/>
              </w:rPr>
            </w:pPr>
            <w:r w:rsidRPr="00B90AC6">
              <w:rPr>
                <w:rFonts w:eastAsia="標楷體"/>
              </w:rPr>
              <w:t>專業或技術能力（一）</w:t>
            </w:r>
          </w:p>
        </w:tc>
        <w:tc>
          <w:tcPr>
            <w:tcW w:w="2508" w:type="dxa"/>
          </w:tcPr>
          <w:p w:rsidR="003E6759" w:rsidRPr="002B489C" w:rsidRDefault="003E6759" w:rsidP="002B489C">
            <w:pPr>
              <w:pStyle w:val="a4"/>
              <w:numPr>
                <w:ilvl w:val="0"/>
                <w:numId w:val="15"/>
              </w:numPr>
              <w:snapToGrid w:val="0"/>
              <w:spacing w:line="340" w:lineRule="exact"/>
              <w:ind w:leftChars="0" w:right="57"/>
              <w:jc w:val="both"/>
              <w:rPr>
                <w:rFonts w:eastAsia="標楷體"/>
                <w:color w:val="000000"/>
              </w:rPr>
            </w:pPr>
            <w:r w:rsidRPr="002B489C">
              <w:rPr>
                <w:rFonts w:eastAsia="標楷體"/>
                <w:color w:val="000000"/>
              </w:rPr>
              <w:t>具有本職或相近工作之豐富經驗。</w:t>
            </w:r>
          </w:p>
          <w:p w:rsidR="003E6759" w:rsidRPr="002B489C" w:rsidRDefault="003E6759" w:rsidP="002B489C">
            <w:pPr>
              <w:pStyle w:val="a4"/>
              <w:numPr>
                <w:ilvl w:val="0"/>
                <w:numId w:val="15"/>
              </w:numPr>
              <w:snapToGrid w:val="0"/>
              <w:spacing w:line="340" w:lineRule="exact"/>
              <w:ind w:leftChars="0" w:right="57"/>
              <w:jc w:val="both"/>
              <w:rPr>
                <w:rFonts w:eastAsia="標楷體"/>
                <w:color w:val="000000"/>
              </w:rPr>
            </w:pPr>
            <w:r w:rsidRPr="002B489C">
              <w:rPr>
                <w:rFonts w:eastAsia="標楷體"/>
                <w:color w:val="000000"/>
              </w:rPr>
              <w:t>對本職工作具有創新見解。</w:t>
            </w:r>
          </w:p>
          <w:p w:rsidR="003E6759" w:rsidRPr="002B489C" w:rsidRDefault="003E6759" w:rsidP="002B489C">
            <w:pPr>
              <w:pStyle w:val="a4"/>
              <w:numPr>
                <w:ilvl w:val="0"/>
                <w:numId w:val="15"/>
              </w:numPr>
              <w:snapToGrid w:val="0"/>
              <w:ind w:leftChars="0" w:right="57"/>
              <w:jc w:val="both"/>
              <w:rPr>
                <w:rFonts w:eastAsia="標楷體"/>
                <w:color w:val="000000"/>
              </w:rPr>
            </w:pPr>
            <w:r w:rsidRPr="002B489C">
              <w:rPr>
                <w:rFonts w:eastAsia="標楷體"/>
                <w:color w:val="000000"/>
              </w:rPr>
              <w:t>具備擬任務之專</w:t>
            </w:r>
            <w:r w:rsidRPr="002B489C">
              <w:rPr>
                <w:rFonts w:eastAsia="標楷體"/>
                <w:color w:val="000000"/>
              </w:rPr>
              <w:lastRenderedPageBreak/>
              <w:t>業學識及工作經驗。</w:t>
            </w:r>
          </w:p>
          <w:p w:rsidR="003E6759" w:rsidRPr="002B489C" w:rsidRDefault="003E6759" w:rsidP="002B489C">
            <w:pPr>
              <w:pStyle w:val="a4"/>
              <w:numPr>
                <w:ilvl w:val="0"/>
                <w:numId w:val="15"/>
              </w:numPr>
              <w:snapToGrid w:val="0"/>
              <w:spacing w:line="340" w:lineRule="exact"/>
              <w:ind w:leftChars="0" w:right="57"/>
              <w:jc w:val="both"/>
              <w:rPr>
                <w:rFonts w:eastAsia="標楷體"/>
                <w:color w:val="000000"/>
              </w:rPr>
            </w:pPr>
            <w:r w:rsidRPr="002B489C">
              <w:rPr>
                <w:rFonts w:eastAsia="標楷體"/>
                <w:color w:val="000000"/>
              </w:rPr>
              <w:t>能積極進修並充實專業能力在工作崗位上兼顧法令、方法、質量、時效、創新等層面，並使之合理可行。</w:t>
            </w:r>
          </w:p>
        </w:tc>
        <w:tc>
          <w:tcPr>
            <w:tcW w:w="2470" w:type="dxa"/>
            <w:gridSpan w:val="2"/>
            <w:vAlign w:val="center"/>
          </w:tcPr>
          <w:p w:rsidR="003E6759" w:rsidRPr="00B90AC6" w:rsidRDefault="003E6759" w:rsidP="002B489C">
            <w:pPr>
              <w:jc w:val="center"/>
              <w:rPr>
                <w:rFonts w:eastAsia="標楷體"/>
              </w:rPr>
            </w:pPr>
            <w:r w:rsidRPr="00B90AC6">
              <w:rPr>
                <w:rFonts w:eastAsia="標楷體"/>
              </w:rPr>
              <w:lastRenderedPageBreak/>
              <w:t>5</w:t>
            </w:r>
            <w:r w:rsidRPr="00B90AC6">
              <w:rPr>
                <w:rFonts w:eastAsia="標楷體"/>
              </w:rPr>
              <w:t>分</w:t>
            </w:r>
          </w:p>
        </w:tc>
        <w:tc>
          <w:tcPr>
            <w:tcW w:w="4371" w:type="dxa"/>
            <w:vAlign w:val="center"/>
          </w:tcPr>
          <w:p w:rsidR="003E6759" w:rsidRPr="00B90AC6" w:rsidRDefault="003E6759" w:rsidP="00136133">
            <w:pPr>
              <w:pStyle w:val="TableParagraph"/>
              <w:kinsoku w:val="0"/>
              <w:overflowPunct w:val="0"/>
              <w:snapToGrid w:val="0"/>
              <w:spacing w:line="340" w:lineRule="exact"/>
              <w:jc w:val="both"/>
              <w:rPr>
                <w:rFonts w:ascii="Times New Roman" w:cs="Times New Roman"/>
              </w:rPr>
            </w:pPr>
            <w:r w:rsidRPr="00B90AC6">
              <w:rPr>
                <w:rFonts w:ascii="Times New Roman" w:cs="Times New Roman"/>
              </w:rPr>
              <w:t>由職缺單位主管依評分標準作綜合評量，最高以</w:t>
            </w:r>
            <w:r w:rsidRPr="00B90AC6">
              <w:rPr>
                <w:rFonts w:ascii="Times New Roman" w:cs="Times New Roman"/>
              </w:rPr>
              <w:t>5</w:t>
            </w:r>
            <w:r w:rsidRPr="00B90AC6">
              <w:rPr>
                <w:rFonts w:ascii="Times New Roman" w:cs="Times New Roman"/>
              </w:rPr>
              <w:t>分為限。</w:t>
            </w:r>
          </w:p>
        </w:tc>
      </w:tr>
      <w:tr w:rsidR="003E6759" w:rsidRPr="00B90AC6" w:rsidTr="002B489C">
        <w:trPr>
          <w:jc w:val="center"/>
        </w:trPr>
        <w:tc>
          <w:tcPr>
            <w:tcW w:w="704" w:type="dxa"/>
            <w:vMerge/>
          </w:tcPr>
          <w:p w:rsidR="003E6759" w:rsidRPr="00B90AC6" w:rsidRDefault="003E6759" w:rsidP="00B90AC6">
            <w:pPr>
              <w:jc w:val="both"/>
              <w:rPr>
                <w:rFonts w:eastAsia="標楷體"/>
              </w:rPr>
            </w:pPr>
          </w:p>
        </w:tc>
        <w:tc>
          <w:tcPr>
            <w:tcW w:w="709" w:type="dxa"/>
            <w:vAlign w:val="center"/>
          </w:tcPr>
          <w:p w:rsidR="003E6759" w:rsidRPr="00B90AC6" w:rsidRDefault="003E6759" w:rsidP="00B90AC6">
            <w:pPr>
              <w:jc w:val="both"/>
              <w:rPr>
                <w:rFonts w:eastAsia="標楷體"/>
              </w:rPr>
            </w:pPr>
            <w:r w:rsidRPr="00B90AC6">
              <w:rPr>
                <w:rFonts w:eastAsia="標楷體"/>
              </w:rPr>
              <w:t>專業或技術能力（二）</w:t>
            </w:r>
          </w:p>
        </w:tc>
        <w:tc>
          <w:tcPr>
            <w:tcW w:w="2508" w:type="dxa"/>
            <w:vAlign w:val="center"/>
          </w:tcPr>
          <w:p w:rsidR="003E6759" w:rsidRPr="00B90AC6" w:rsidRDefault="003E6759" w:rsidP="00B90AC6">
            <w:pPr>
              <w:pStyle w:val="TableParagraph"/>
              <w:kinsoku w:val="0"/>
              <w:overflowPunct w:val="0"/>
              <w:snapToGrid w:val="0"/>
              <w:spacing w:line="340" w:lineRule="exact"/>
              <w:jc w:val="both"/>
              <w:rPr>
                <w:rFonts w:ascii="Times New Roman" w:cs="Times New Roman"/>
              </w:rPr>
            </w:pPr>
            <w:r w:rsidRPr="00B90AC6">
              <w:rPr>
                <w:rFonts w:ascii="Times New Roman" w:cs="Times New Roman"/>
                <w:color w:val="000000"/>
              </w:rPr>
              <w:t>具與擬任職務工作性質相關之職業證照、專業證照。</w:t>
            </w:r>
          </w:p>
        </w:tc>
        <w:tc>
          <w:tcPr>
            <w:tcW w:w="2470" w:type="dxa"/>
            <w:gridSpan w:val="2"/>
            <w:vAlign w:val="center"/>
          </w:tcPr>
          <w:p w:rsidR="003E6759" w:rsidRPr="002B489C" w:rsidRDefault="003E6759" w:rsidP="002B489C">
            <w:pPr>
              <w:jc w:val="center"/>
              <w:rPr>
                <w:rFonts w:eastAsia="標楷體"/>
              </w:rPr>
            </w:pPr>
            <w:r w:rsidRPr="002B489C">
              <w:rPr>
                <w:rFonts w:eastAsia="標楷體"/>
                <w:kern w:val="0"/>
              </w:rPr>
              <w:t>2</w:t>
            </w:r>
            <w:r w:rsidRPr="002B489C">
              <w:rPr>
                <w:rFonts w:eastAsia="標楷體"/>
                <w:kern w:val="0"/>
              </w:rPr>
              <w:t>分</w:t>
            </w:r>
          </w:p>
        </w:tc>
        <w:tc>
          <w:tcPr>
            <w:tcW w:w="4371" w:type="dxa"/>
          </w:tcPr>
          <w:p w:rsidR="003E6759" w:rsidRPr="00657F8C" w:rsidRDefault="003E6759" w:rsidP="00657F8C">
            <w:pPr>
              <w:pStyle w:val="a4"/>
              <w:numPr>
                <w:ilvl w:val="0"/>
                <w:numId w:val="16"/>
              </w:numPr>
              <w:ind w:leftChars="0"/>
              <w:jc w:val="both"/>
              <w:rPr>
                <w:rFonts w:eastAsia="標楷體"/>
              </w:rPr>
            </w:pPr>
            <w:r w:rsidRPr="00657F8C">
              <w:rPr>
                <w:rFonts w:eastAsia="標楷體"/>
              </w:rPr>
              <w:t>於擬任職務公告截止日止、所具證照尚在有效期限內者，始得</w:t>
            </w:r>
            <w:proofErr w:type="gramStart"/>
            <w:r w:rsidRPr="00657F8C">
              <w:rPr>
                <w:rFonts w:eastAsia="標楷體"/>
              </w:rPr>
              <w:t>採</w:t>
            </w:r>
            <w:proofErr w:type="gramEnd"/>
            <w:r w:rsidRPr="00657F8C">
              <w:rPr>
                <w:rFonts w:eastAsia="標楷體"/>
              </w:rPr>
              <w:t>計，最高以</w:t>
            </w:r>
            <w:r w:rsidRPr="00657F8C">
              <w:rPr>
                <w:rFonts w:eastAsia="標楷體"/>
              </w:rPr>
              <w:t>2</w:t>
            </w:r>
            <w:r w:rsidRPr="00657F8C">
              <w:rPr>
                <w:rFonts w:eastAsia="標楷體"/>
              </w:rPr>
              <w:t>分為限。</w:t>
            </w:r>
          </w:p>
          <w:p w:rsidR="003E6759" w:rsidRPr="00657F8C" w:rsidRDefault="003E6759" w:rsidP="00657F8C">
            <w:pPr>
              <w:pStyle w:val="a4"/>
              <w:numPr>
                <w:ilvl w:val="0"/>
                <w:numId w:val="16"/>
              </w:numPr>
              <w:ind w:leftChars="0"/>
              <w:jc w:val="both"/>
              <w:rPr>
                <w:rFonts w:eastAsia="標楷體"/>
              </w:rPr>
            </w:pPr>
            <w:r w:rsidRPr="00657F8C">
              <w:rPr>
                <w:rFonts w:eastAsia="標楷體"/>
              </w:rPr>
              <w:t>證照認定之</w:t>
            </w:r>
            <w:proofErr w:type="gramStart"/>
            <w:r w:rsidRPr="00657F8C">
              <w:rPr>
                <w:rFonts w:eastAsia="標楷體"/>
              </w:rPr>
              <w:t>採</w:t>
            </w:r>
            <w:proofErr w:type="gramEnd"/>
            <w:r w:rsidRPr="00657F8C">
              <w:rPr>
                <w:rFonts w:eastAsia="標楷體"/>
              </w:rPr>
              <w:t>計如下：</w:t>
            </w:r>
          </w:p>
          <w:p w:rsidR="003E6759" w:rsidRPr="00657F8C" w:rsidRDefault="003E6759" w:rsidP="00657F8C">
            <w:pPr>
              <w:pStyle w:val="a4"/>
              <w:numPr>
                <w:ilvl w:val="0"/>
                <w:numId w:val="18"/>
              </w:numPr>
              <w:ind w:leftChars="123" w:left="861" w:hangingChars="236" w:hanging="566"/>
              <w:jc w:val="both"/>
              <w:rPr>
                <w:rFonts w:eastAsia="標楷體"/>
              </w:rPr>
            </w:pPr>
            <w:r w:rsidRPr="00657F8C">
              <w:rPr>
                <w:rFonts w:eastAsia="標楷體"/>
              </w:rPr>
              <w:t>心理師、社會工作師、律師等：每</w:t>
            </w:r>
            <w:r w:rsidRPr="00657F8C">
              <w:rPr>
                <w:rFonts w:eastAsia="標楷體"/>
              </w:rPr>
              <w:t>1</w:t>
            </w:r>
            <w:r w:rsidRPr="00657F8C">
              <w:rPr>
                <w:rFonts w:eastAsia="標楷體"/>
              </w:rPr>
              <w:t>證照</w:t>
            </w:r>
            <w:r w:rsidRPr="00657F8C">
              <w:rPr>
                <w:rFonts w:eastAsia="標楷體"/>
              </w:rPr>
              <w:t>0.5</w:t>
            </w:r>
            <w:r w:rsidRPr="00657F8C">
              <w:rPr>
                <w:rFonts w:eastAsia="標楷體"/>
              </w:rPr>
              <w:t>分。</w:t>
            </w:r>
          </w:p>
          <w:p w:rsidR="003E6759" w:rsidRPr="00B90AC6" w:rsidRDefault="003E6759" w:rsidP="00657F8C">
            <w:pPr>
              <w:pStyle w:val="a4"/>
              <w:numPr>
                <w:ilvl w:val="0"/>
                <w:numId w:val="18"/>
              </w:numPr>
              <w:ind w:leftChars="123" w:left="861" w:hangingChars="236" w:hanging="566"/>
              <w:jc w:val="both"/>
            </w:pPr>
            <w:r w:rsidRPr="00657F8C">
              <w:rPr>
                <w:rFonts w:eastAsia="標楷體"/>
              </w:rPr>
              <w:t>其他證照：由受考人檢具政府機關核發證照並提供與擬任職務性質相關之說明，經職員</w:t>
            </w:r>
            <w:proofErr w:type="gramStart"/>
            <w:r w:rsidRPr="00657F8C">
              <w:rPr>
                <w:rFonts w:eastAsia="標楷體"/>
              </w:rPr>
              <w:t>甄審暨</w:t>
            </w:r>
            <w:proofErr w:type="gramEnd"/>
            <w:r w:rsidRPr="00657F8C">
              <w:rPr>
                <w:rFonts w:eastAsia="標楷體"/>
              </w:rPr>
              <w:t>考績委員會通過後予以採計，每</w:t>
            </w:r>
            <w:r w:rsidRPr="00657F8C">
              <w:rPr>
                <w:rFonts w:eastAsia="標楷體"/>
              </w:rPr>
              <w:t>1</w:t>
            </w:r>
            <w:r w:rsidRPr="00657F8C">
              <w:rPr>
                <w:rFonts w:eastAsia="標楷體"/>
              </w:rPr>
              <w:t>證照</w:t>
            </w:r>
            <w:r w:rsidRPr="00657F8C">
              <w:rPr>
                <w:rFonts w:eastAsia="標楷體"/>
              </w:rPr>
              <w:t>0.5</w:t>
            </w:r>
            <w:r w:rsidRPr="00657F8C">
              <w:rPr>
                <w:rFonts w:eastAsia="標楷體"/>
              </w:rPr>
              <w:t>分。</w:t>
            </w:r>
          </w:p>
        </w:tc>
      </w:tr>
      <w:tr w:rsidR="003E6759" w:rsidRPr="00B90AC6" w:rsidTr="00657F8C">
        <w:trPr>
          <w:jc w:val="center"/>
        </w:trPr>
        <w:tc>
          <w:tcPr>
            <w:tcW w:w="704" w:type="dxa"/>
            <w:vMerge/>
          </w:tcPr>
          <w:p w:rsidR="003E6759" w:rsidRPr="00B90AC6" w:rsidRDefault="003E6759" w:rsidP="00B90AC6">
            <w:pPr>
              <w:jc w:val="both"/>
              <w:rPr>
                <w:rFonts w:eastAsia="標楷體"/>
              </w:rPr>
            </w:pPr>
          </w:p>
        </w:tc>
        <w:tc>
          <w:tcPr>
            <w:tcW w:w="709" w:type="dxa"/>
          </w:tcPr>
          <w:p w:rsidR="003E6759" w:rsidRPr="00B90AC6" w:rsidRDefault="003E6759" w:rsidP="00B90AC6">
            <w:pPr>
              <w:jc w:val="both"/>
              <w:rPr>
                <w:rFonts w:eastAsia="標楷體"/>
              </w:rPr>
            </w:pPr>
            <w:r w:rsidRPr="00B90AC6">
              <w:rPr>
                <w:rFonts w:eastAsia="標楷體"/>
              </w:rPr>
              <w:t>專業或技術能力（三）</w:t>
            </w:r>
          </w:p>
        </w:tc>
        <w:tc>
          <w:tcPr>
            <w:tcW w:w="2508" w:type="dxa"/>
            <w:vAlign w:val="center"/>
          </w:tcPr>
          <w:p w:rsidR="003E6759" w:rsidRPr="00B90AC6" w:rsidRDefault="003E6759" w:rsidP="00B90AC6">
            <w:pPr>
              <w:pStyle w:val="TableParagraph"/>
              <w:kinsoku w:val="0"/>
              <w:overflowPunct w:val="0"/>
              <w:snapToGrid w:val="0"/>
              <w:spacing w:line="340" w:lineRule="exact"/>
              <w:jc w:val="both"/>
              <w:rPr>
                <w:rFonts w:ascii="Times New Roman" w:cs="Times New Roman"/>
              </w:rPr>
            </w:pPr>
            <w:r w:rsidRPr="00B90AC6">
              <w:rPr>
                <w:rFonts w:ascii="Times New Roman" w:cs="Times New Roman"/>
                <w:kern w:val="2"/>
                <w:szCs w:val="20"/>
              </w:rPr>
              <w:t>通過各項語言</w:t>
            </w:r>
            <w:r w:rsidRPr="00B90AC6">
              <w:rPr>
                <w:rFonts w:ascii="Times New Roman" w:cs="Times New Roman"/>
                <w:kern w:val="2"/>
                <w:szCs w:val="20"/>
              </w:rPr>
              <w:t>(</w:t>
            </w:r>
            <w:r w:rsidRPr="00B90AC6">
              <w:rPr>
                <w:rFonts w:ascii="Times New Roman" w:cs="Times New Roman"/>
                <w:kern w:val="2"/>
                <w:szCs w:val="20"/>
              </w:rPr>
              <w:t>含本國語言及外國語言</w:t>
            </w:r>
            <w:r w:rsidRPr="00B90AC6">
              <w:rPr>
                <w:rFonts w:ascii="Times New Roman" w:cs="Times New Roman"/>
                <w:kern w:val="2"/>
                <w:szCs w:val="20"/>
              </w:rPr>
              <w:t>)</w:t>
            </w:r>
            <w:r w:rsidRPr="00B90AC6">
              <w:rPr>
                <w:rFonts w:ascii="Times New Roman" w:cs="Times New Roman"/>
                <w:kern w:val="2"/>
                <w:szCs w:val="20"/>
              </w:rPr>
              <w:t>能力測驗並領有成績證明或合格證書者。</w:t>
            </w:r>
          </w:p>
        </w:tc>
        <w:tc>
          <w:tcPr>
            <w:tcW w:w="2470" w:type="dxa"/>
            <w:gridSpan w:val="2"/>
            <w:vAlign w:val="center"/>
          </w:tcPr>
          <w:p w:rsidR="003E6759" w:rsidRPr="00B90AC6" w:rsidRDefault="003E6759" w:rsidP="00657F8C">
            <w:pPr>
              <w:jc w:val="center"/>
              <w:rPr>
                <w:rFonts w:eastAsia="標楷體"/>
              </w:rPr>
            </w:pPr>
            <w:r w:rsidRPr="00B90AC6">
              <w:rPr>
                <w:rFonts w:eastAsia="標楷體"/>
                <w:color w:val="000000"/>
                <w:kern w:val="0"/>
              </w:rPr>
              <w:t>2</w:t>
            </w:r>
            <w:r w:rsidRPr="00B90AC6">
              <w:rPr>
                <w:rFonts w:eastAsia="標楷體"/>
                <w:color w:val="000000"/>
                <w:kern w:val="0"/>
              </w:rPr>
              <w:t>分</w:t>
            </w:r>
          </w:p>
        </w:tc>
        <w:tc>
          <w:tcPr>
            <w:tcW w:w="4371" w:type="dxa"/>
          </w:tcPr>
          <w:p w:rsidR="003E6759" w:rsidRPr="00B90AC6" w:rsidRDefault="003E6759" w:rsidP="00657F8C">
            <w:pPr>
              <w:pStyle w:val="Default"/>
              <w:numPr>
                <w:ilvl w:val="0"/>
                <w:numId w:val="19"/>
              </w:numPr>
              <w:snapToGrid w:val="0"/>
              <w:ind w:left="482" w:hanging="482"/>
              <w:jc w:val="both"/>
              <w:rPr>
                <w:rFonts w:ascii="Times New Roman" w:eastAsia="標楷體" w:hAnsi="Times New Roman" w:cs="Times New Roman"/>
                <w:color w:val="auto"/>
                <w:kern w:val="2"/>
                <w:szCs w:val="20"/>
              </w:rPr>
            </w:pPr>
            <w:r w:rsidRPr="00B90AC6">
              <w:rPr>
                <w:rFonts w:ascii="Times New Roman" w:eastAsia="標楷體" w:hAnsi="Times New Roman" w:cs="Times New Roman"/>
                <w:color w:val="auto"/>
                <w:kern w:val="2"/>
                <w:szCs w:val="20"/>
              </w:rPr>
              <w:t>依「教育部職員英語、除英語外之其他語言檢測</w:t>
            </w:r>
            <w:proofErr w:type="gramStart"/>
            <w:r w:rsidRPr="00B90AC6">
              <w:rPr>
                <w:rFonts w:ascii="Times New Roman" w:eastAsia="標楷體" w:hAnsi="Times New Roman" w:cs="Times New Roman"/>
                <w:color w:val="auto"/>
                <w:kern w:val="2"/>
                <w:szCs w:val="20"/>
              </w:rPr>
              <w:t>陞</w:t>
            </w:r>
            <w:proofErr w:type="gramEnd"/>
            <w:r w:rsidRPr="00B90AC6">
              <w:rPr>
                <w:rFonts w:ascii="Times New Roman" w:eastAsia="標楷體" w:hAnsi="Times New Roman" w:cs="Times New Roman"/>
                <w:color w:val="auto"/>
                <w:kern w:val="2"/>
                <w:szCs w:val="20"/>
              </w:rPr>
              <w:t>任評分計分標準對照表」計分。</w:t>
            </w:r>
          </w:p>
          <w:p w:rsidR="003E6759" w:rsidRPr="00B90AC6" w:rsidRDefault="003E6759" w:rsidP="00657F8C">
            <w:pPr>
              <w:pStyle w:val="Default"/>
              <w:numPr>
                <w:ilvl w:val="0"/>
                <w:numId w:val="19"/>
              </w:numPr>
              <w:ind w:left="482" w:hanging="482"/>
              <w:jc w:val="both"/>
              <w:rPr>
                <w:rFonts w:ascii="Times New Roman" w:eastAsia="標楷體" w:hAnsi="Times New Roman" w:cs="Times New Roman"/>
              </w:rPr>
            </w:pPr>
            <w:r w:rsidRPr="00B90AC6">
              <w:rPr>
                <w:rFonts w:ascii="Times New Roman" w:eastAsia="標楷體" w:hAnsi="Times New Roman" w:cs="Times New Roman"/>
                <w:color w:val="auto"/>
                <w:kern w:val="2"/>
                <w:szCs w:val="20"/>
              </w:rPr>
              <w:t>取得</w:t>
            </w:r>
            <w:r w:rsidRPr="00B90AC6">
              <w:rPr>
                <w:rFonts w:ascii="Times New Roman" w:eastAsia="標楷體" w:hAnsi="Times New Roman" w:cs="Times New Roman"/>
                <w:color w:val="auto"/>
                <w:kern w:val="2"/>
                <w:szCs w:val="20"/>
              </w:rPr>
              <w:t>2</w:t>
            </w:r>
            <w:r w:rsidRPr="00B90AC6">
              <w:rPr>
                <w:rFonts w:ascii="Times New Roman" w:eastAsia="標楷體" w:hAnsi="Times New Roman" w:cs="Times New Roman"/>
                <w:color w:val="auto"/>
                <w:kern w:val="2"/>
                <w:szCs w:val="20"/>
              </w:rPr>
              <w:t>項以上語言能力測驗或成績證明或合格證書者，以等級最高之</w:t>
            </w:r>
            <w:r w:rsidRPr="00B90AC6">
              <w:rPr>
                <w:rFonts w:ascii="Times New Roman" w:eastAsia="標楷體" w:hAnsi="Times New Roman" w:cs="Times New Roman"/>
                <w:color w:val="auto"/>
                <w:kern w:val="2"/>
                <w:szCs w:val="20"/>
              </w:rPr>
              <w:t>1</w:t>
            </w:r>
            <w:r w:rsidRPr="00B90AC6">
              <w:rPr>
                <w:rFonts w:ascii="Times New Roman" w:eastAsia="標楷體" w:hAnsi="Times New Roman" w:cs="Times New Roman"/>
                <w:color w:val="auto"/>
                <w:kern w:val="2"/>
                <w:szCs w:val="20"/>
              </w:rPr>
              <w:t>項計分。</w:t>
            </w:r>
          </w:p>
        </w:tc>
      </w:tr>
      <w:tr w:rsidR="003E6759" w:rsidRPr="00B90AC6" w:rsidTr="00657F8C">
        <w:trPr>
          <w:jc w:val="center"/>
        </w:trPr>
        <w:tc>
          <w:tcPr>
            <w:tcW w:w="704" w:type="dxa"/>
            <w:vMerge/>
          </w:tcPr>
          <w:p w:rsidR="003E6759" w:rsidRPr="00B90AC6" w:rsidRDefault="003E6759" w:rsidP="00B90AC6">
            <w:pPr>
              <w:jc w:val="both"/>
              <w:rPr>
                <w:rFonts w:eastAsia="標楷體"/>
              </w:rPr>
            </w:pPr>
          </w:p>
        </w:tc>
        <w:tc>
          <w:tcPr>
            <w:tcW w:w="709" w:type="dxa"/>
            <w:vAlign w:val="center"/>
          </w:tcPr>
          <w:p w:rsidR="003E6759" w:rsidRPr="00657F8C" w:rsidRDefault="003E6759" w:rsidP="00657F8C">
            <w:pPr>
              <w:jc w:val="both"/>
              <w:rPr>
                <w:rFonts w:eastAsia="標楷體"/>
              </w:rPr>
            </w:pPr>
            <w:r w:rsidRPr="00657F8C">
              <w:rPr>
                <w:rFonts w:eastAsia="標楷體"/>
              </w:rPr>
              <w:t>職務歷練</w:t>
            </w:r>
          </w:p>
        </w:tc>
        <w:tc>
          <w:tcPr>
            <w:tcW w:w="2508" w:type="dxa"/>
            <w:vAlign w:val="center"/>
          </w:tcPr>
          <w:p w:rsidR="003E6759" w:rsidRPr="00657F8C" w:rsidRDefault="003E6759" w:rsidP="00657F8C">
            <w:pPr>
              <w:pStyle w:val="Default"/>
              <w:numPr>
                <w:ilvl w:val="0"/>
                <w:numId w:val="5"/>
              </w:numPr>
              <w:ind w:left="357" w:hanging="357"/>
              <w:jc w:val="both"/>
              <w:rPr>
                <w:rFonts w:ascii="Times New Roman" w:eastAsia="標楷體" w:hAnsi="Times New Roman" w:cs="Times New Roman"/>
                <w:color w:val="auto"/>
              </w:rPr>
            </w:pPr>
            <w:r w:rsidRPr="00657F8C">
              <w:rPr>
                <w:rFonts w:ascii="Times New Roman" w:eastAsia="標楷體" w:hAnsi="Times New Roman" w:cs="Times New Roman"/>
                <w:color w:val="auto"/>
              </w:rPr>
              <w:t>任現職及同職務列等職務</w:t>
            </w:r>
            <w:proofErr w:type="gramStart"/>
            <w:r w:rsidRPr="00657F8C">
              <w:rPr>
                <w:rFonts w:ascii="Times New Roman" w:eastAsia="標楷體" w:hAnsi="Times New Roman" w:cs="Times New Roman"/>
                <w:color w:val="auto"/>
              </w:rPr>
              <w:t>期間，</w:t>
            </w:r>
            <w:proofErr w:type="gramEnd"/>
            <w:r w:rsidRPr="00657F8C">
              <w:rPr>
                <w:rFonts w:ascii="Times New Roman" w:eastAsia="標楷體" w:hAnsi="Times New Roman" w:cs="Times New Roman"/>
                <w:color w:val="auto"/>
              </w:rPr>
              <w:t>該單位任滿</w:t>
            </w:r>
            <w:r w:rsidRPr="00657F8C">
              <w:rPr>
                <w:rFonts w:ascii="Times New Roman" w:eastAsia="標楷體" w:hAnsi="Times New Roman" w:cs="Times New Roman"/>
                <w:color w:val="auto"/>
              </w:rPr>
              <w:t>2</w:t>
            </w:r>
            <w:r w:rsidRPr="00657F8C">
              <w:rPr>
                <w:rFonts w:ascii="Times New Roman" w:eastAsia="標楷體" w:hAnsi="Times New Roman" w:cs="Times New Roman"/>
                <w:color w:val="auto"/>
              </w:rPr>
              <w:t>年得</w:t>
            </w:r>
            <w:r w:rsidRPr="00657F8C">
              <w:rPr>
                <w:rFonts w:ascii="Times New Roman" w:eastAsia="標楷體" w:hAnsi="Times New Roman" w:cs="Times New Roman"/>
                <w:color w:val="auto"/>
              </w:rPr>
              <w:t>1</w:t>
            </w:r>
            <w:r w:rsidRPr="00657F8C">
              <w:rPr>
                <w:rFonts w:ascii="Times New Roman" w:eastAsia="標楷體" w:hAnsi="Times New Roman" w:cs="Times New Roman"/>
                <w:color w:val="auto"/>
              </w:rPr>
              <w:t>分，未滿</w:t>
            </w:r>
            <w:r w:rsidRPr="00657F8C">
              <w:rPr>
                <w:rFonts w:ascii="Times New Roman" w:eastAsia="標楷體" w:hAnsi="Times New Roman" w:cs="Times New Roman"/>
                <w:color w:val="auto"/>
              </w:rPr>
              <w:t>2</w:t>
            </w:r>
            <w:r w:rsidRPr="00657F8C">
              <w:rPr>
                <w:rFonts w:ascii="Times New Roman" w:eastAsia="標楷體" w:hAnsi="Times New Roman" w:cs="Times New Roman"/>
                <w:color w:val="auto"/>
              </w:rPr>
              <w:t>年者，不予計分。</w:t>
            </w:r>
          </w:p>
          <w:p w:rsidR="003E6759" w:rsidRPr="00657F8C" w:rsidRDefault="003E6759" w:rsidP="00657F8C">
            <w:pPr>
              <w:pStyle w:val="Default"/>
              <w:numPr>
                <w:ilvl w:val="0"/>
                <w:numId w:val="5"/>
              </w:numPr>
              <w:ind w:left="357" w:hanging="357"/>
              <w:jc w:val="both"/>
              <w:rPr>
                <w:rFonts w:ascii="Times New Roman" w:eastAsia="標楷體" w:hAnsi="Times New Roman" w:cs="Times New Roman"/>
                <w:color w:val="auto"/>
              </w:rPr>
            </w:pPr>
            <w:r w:rsidRPr="00657F8C">
              <w:rPr>
                <w:rFonts w:ascii="Times New Roman" w:eastAsia="標楷體" w:hAnsi="Times New Roman" w:cs="Times New Roman"/>
                <w:color w:val="auto"/>
              </w:rPr>
              <w:t>最近五年內任職本校</w:t>
            </w:r>
            <w:r w:rsidRPr="00657F8C">
              <w:rPr>
                <w:rFonts w:ascii="Times New Roman" w:eastAsia="標楷體" w:hAnsi="Times New Roman" w:cs="Times New Roman"/>
                <w:color w:val="auto"/>
              </w:rPr>
              <w:t>2</w:t>
            </w:r>
            <w:r w:rsidRPr="00657F8C">
              <w:rPr>
                <w:rFonts w:ascii="Times New Roman" w:eastAsia="標楷體" w:hAnsi="Times New Roman" w:cs="Times New Roman"/>
                <w:color w:val="auto"/>
              </w:rPr>
              <w:t>個以上單位，與現職同職務列等或同一</w:t>
            </w:r>
            <w:proofErr w:type="gramStart"/>
            <w:r w:rsidRPr="00657F8C">
              <w:rPr>
                <w:rFonts w:ascii="Times New Roman" w:eastAsia="標楷體" w:hAnsi="Times New Roman" w:cs="Times New Roman"/>
                <w:color w:val="auto"/>
              </w:rPr>
              <w:t>陞</w:t>
            </w:r>
            <w:proofErr w:type="gramEnd"/>
            <w:r w:rsidRPr="00657F8C">
              <w:rPr>
                <w:rFonts w:ascii="Times New Roman" w:eastAsia="標楷體" w:hAnsi="Times New Roman" w:cs="Times New Roman"/>
                <w:color w:val="auto"/>
              </w:rPr>
              <w:t>遷序列之職務，每一單位任職期間在</w:t>
            </w:r>
            <w:r w:rsidRPr="00657F8C">
              <w:rPr>
                <w:rFonts w:ascii="Times New Roman" w:eastAsia="標楷體" w:hAnsi="Times New Roman" w:cs="Times New Roman"/>
                <w:color w:val="auto"/>
              </w:rPr>
              <w:t>2</w:t>
            </w:r>
            <w:r w:rsidRPr="00657F8C">
              <w:rPr>
                <w:rFonts w:ascii="Times New Roman" w:eastAsia="標楷體" w:hAnsi="Times New Roman" w:cs="Times New Roman"/>
                <w:color w:val="auto"/>
              </w:rPr>
              <w:t>年以上且</w:t>
            </w:r>
            <w:r w:rsidRPr="00657F8C">
              <w:rPr>
                <w:rFonts w:ascii="Times New Roman" w:eastAsia="標楷體" w:hAnsi="Times New Roman" w:cs="Times New Roman"/>
                <w:color w:val="auto"/>
              </w:rPr>
              <w:t>5</w:t>
            </w:r>
            <w:r w:rsidRPr="00657F8C">
              <w:rPr>
                <w:rFonts w:ascii="Times New Roman" w:eastAsia="標楷體" w:hAnsi="Times New Roman" w:cs="Times New Roman"/>
                <w:color w:val="auto"/>
              </w:rPr>
              <w:t>年內考績甲等</w:t>
            </w:r>
            <w:r w:rsidRPr="00657F8C">
              <w:rPr>
                <w:rFonts w:ascii="Times New Roman" w:eastAsia="標楷體" w:hAnsi="Times New Roman" w:cs="Times New Roman"/>
                <w:color w:val="auto"/>
              </w:rPr>
              <w:t>2</w:t>
            </w:r>
            <w:r w:rsidRPr="00657F8C">
              <w:rPr>
                <w:rFonts w:ascii="Times New Roman" w:eastAsia="標楷體" w:hAnsi="Times New Roman" w:cs="Times New Roman"/>
                <w:color w:val="auto"/>
              </w:rPr>
              <w:t>年以上者，給予</w:t>
            </w:r>
            <w:r w:rsidRPr="00657F8C">
              <w:rPr>
                <w:rFonts w:ascii="Times New Roman" w:eastAsia="標楷體" w:hAnsi="Times New Roman" w:cs="Times New Roman"/>
                <w:color w:val="auto"/>
              </w:rPr>
              <w:t>5</w:t>
            </w:r>
            <w:r w:rsidRPr="00657F8C">
              <w:rPr>
                <w:rFonts w:ascii="Times New Roman" w:eastAsia="標楷體" w:hAnsi="Times New Roman" w:cs="Times New Roman"/>
                <w:color w:val="auto"/>
              </w:rPr>
              <w:t>分。</w:t>
            </w:r>
          </w:p>
        </w:tc>
        <w:tc>
          <w:tcPr>
            <w:tcW w:w="2470" w:type="dxa"/>
            <w:gridSpan w:val="2"/>
            <w:vAlign w:val="center"/>
          </w:tcPr>
          <w:p w:rsidR="003E6759" w:rsidRPr="00657F8C" w:rsidRDefault="003E6759" w:rsidP="00657F8C">
            <w:pPr>
              <w:jc w:val="center"/>
              <w:rPr>
                <w:rFonts w:eastAsia="標楷體"/>
              </w:rPr>
            </w:pPr>
            <w:r w:rsidRPr="00657F8C">
              <w:rPr>
                <w:rFonts w:eastAsia="標楷體"/>
                <w:kern w:val="0"/>
              </w:rPr>
              <w:t>5</w:t>
            </w:r>
            <w:r w:rsidRPr="00657F8C">
              <w:rPr>
                <w:rFonts w:eastAsia="標楷體"/>
                <w:kern w:val="0"/>
              </w:rPr>
              <w:t>分</w:t>
            </w:r>
          </w:p>
        </w:tc>
        <w:tc>
          <w:tcPr>
            <w:tcW w:w="4371" w:type="dxa"/>
            <w:vAlign w:val="center"/>
          </w:tcPr>
          <w:p w:rsidR="003E6759" w:rsidRPr="00657F8C" w:rsidRDefault="003E6759" w:rsidP="00657F8C">
            <w:pPr>
              <w:pStyle w:val="a4"/>
              <w:numPr>
                <w:ilvl w:val="0"/>
                <w:numId w:val="20"/>
              </w:numPr>
              <w:ind w:leftChars="0"/>
              <w:jc w:val="both"/>
              <w:rPr>
                <w:rFonts w:eastAsia="標楷體"/>
              </w:rPr>
            </w:pPr>
            <w:r w:rsidRPr="00657F8C">
              <w:rPr>
                <w:rFonts w:eastAsia="標楷體"/>
              </w:rPr>
              <w:t>以最近五年內（自辦理</w:t>
            </w:r>
            <w:proofErr w:type="gramStart"/>
            <w:r w:rsidRPr="00657F8C">
              <w:rPr>
                <w:rFonts w:eastAsia="標楷體"/>
              </w:rPr>
              <w:t>陞</w:t>
            </w:r>
            <w:proofErr w:type="gramEnd"/>
            <w:r w:rsidRPr="00657F8C">
              <w:rPr>
                <w:rFonts w:eastAsia="標楷體"/>
              </w:rPr>
              <w:t>任甄審當月上溯計算）現職、同職務列等或同一陞遷序列職務期間之職務歷練為限，最高以</w:t>
            </w:r>
            <w:r w:rsidRPr="00657F8C">
              <w:rPr>
                <w:rFonts w:eastAsia="標楷體"/>
              </w:rPr>
              <w:t>5</w:t>
            </w:r>
            <w:r w:rsidRPr="00657F8C">
              <w:rPr>
                <w:rFonts w:eastAsia="標楷體"/>
              </w:rPr>
              <w:t>分為限。</w:t>
            </w:r>
          </w:p>
          <w:p w:rsidR="003E6759" w:rsidRPr="00657F8C" w:rsidRDefault="003E6759" w:rsidP="00657F8C">
            <w:pPr>
              <w:pStyle w:val="a4"/>
              <w:numPr>
                <w:ilvl w:val="0"/>
                <w:numId w:val="20"/>
              </w:numPr>
              <w:ind w:leftChars="0"/>
              <w:jc w:val="both"/>
            </w:pPr>
            <w:r w:rsidRPr="00657F8C">
              <w:rPr>
                <w:rFonts w:eastAsia="標楷體"/>
              </w:rPr>
              <w:t>任現職、同職務列等或同一</w:t>
            </w:r>
            <w:proofErr w:type="gramStart"/>
            <w:r w:rsidRPr="00657F8C">
              <w:rPr>
                <w:rFonts w:eastAsia="標楷體"/>
              </w:rPr>
              <w:t>陞</w:t>
            </w:r>
            <w:proofErr w:type="gramEnd"/>
            <w:r w:rsidRPr="00657F8C">
              <w:rPr>
                <w:rFonts w:eastAsia="標楷體"/>
              </w:rPr>
              <w:t>遷序列職務之歷練，均包括</w:t>
            </w:r>
            <w:proofErr w:type="gramStart"/>
            <w:r w:rsidRPr="00657F8C">
              <w:rPr>
                <w:rFonts w:eastAsia="標楷體"/>
              </w:rPr>
              <w:t>權理期間</w:t>
            </w:r>
            <w:proofErr w:type="gramEnd"/>
            <w:r w:rsidRPr="00657F8C">
              <w:rPr>
                <w:rFonts w:eastAsia="標楷體"/>
              </w:rPr>
              <w:t>，但不包含代理之職務；尚不包含因現職不適任，或</w:t>
            </w:r>
            <w:proofErr w:type="gramStart"/>
            <w:r w:rsidRPr="00657F8C">
              <w:rPr>
                <w:rFonts w:eastAsia="標楷體"/>
              </w:rPr>
              <w:t>不</w:t>
            </w:r>
            <w:proofErr w:type="gramEnd"/>
            <w:r w:rsidRPr="00657F8C">
              <w:rPr>
                <w:rFonts w:eastAsia="標楷體"/>
              </w:rPr>
              <w:t>守紀律而調整職務者。</w:t>
            </w:r>
          </w:p>
        </w:tc>
      </w:tr>
      <w:tr w:rsidR="003E6759" w:rsidRPr="00B90AC6" w:rsidTr="00657F8C">
        <w:trPr>
          <w:jc w:val="center"/>
        </w:trPr>
        <w:tc>
          <w:tcPr>
            <w:tcW w:w="704" w:type="dxa"/>
            <w:vMerge/>
          </w:tcPr>
          <w:p w:rsidR="003E6759" w:rsidRPr="00B90AC6" w:rsidRDefault="003E6759" w:rsidP="00B90AC6">
            <w:pPr>
              <w:pStyle w:val="Default"/>
              <w:snapToGrid w:val="0"/>
              <w:spacing w:line="340" w:lineRule="exact"/>
              <w:jc w:val="both"/>
              <w:rPr>
                <w:rFonts w:ascii="Times New Roman" w:eastAsia="標楷體" w:hAnsi="Times New Roman" w:cs="Times New Roman"/>
              </w:rPr>
            </w:pPr>
          </w:p>
        </w:tc>
        <w:tc>
          <w:tcPr>
            <w:tcW w:w="709" w:type="dxa"/>
          </w:tcPr>
          <w:p w:rsidR="003E6759" w:rsidRPr="00B90AC6" w:rsidRDefault="003E6759" w:rsidP="00B90AC6">
            <w:pPr>
              <w:pStyle w:val="Default"/>
              <w:snapToGrid w:val="0"/>
              <w:spacing w:line="340" w:lineRule="exact"/>
              <w:jc w:val="both"/>
              <w:rPr>
                <w:rFonts w:ascii="Times New Roman" w:eastAsia="標楷體" w:hAnsi="Times New Roman" w:cs="Times New Roman"/>
              </w:rPr>
            </w:pPr>
            <w:r w:rsidRPr="00B90AC6">
              <w:rPr>
                <w:rFonts w:ascii="Times New Roman" w:eastAsia="標楷體" w:hAnsi="Times New Roman" w:cs="Times New Roman"/>
              </w:rPr>
              <w:t>發展潛能</w:t>
            </w:r>
          </w:p>
        </w:tc>
        <w:tc>
          <w:tcPr>
            <w:tcW w:w="2508" w:type="dxa"/>
            <w:vAlign w:val="center"/>
          </w:tcPr>
          <w:p w:rsidR="003E6759" w:rsidRPr="00657F8C" w:rsidRDefault="003E6759" w:rsidP="00657F8C">
            <w:pPr>
              <w:pStyle w:val="Default"/>
              <w:numPr>
                <w:ilvl w:val="0"/>
                <w:numId w:val="21"/>
              </w:numPr>
              <w:ind w:left="482" w:hanging="482"/>
              <w:jc w:val="both"/>
              <w:rPr>
                <w:rFonts w:ascii="Times New Roman" w:eastAsia="標楷體" w:hAnsi="Times New Roman" w:cs="Times New Roman"/>
                <w:color w:val="auto"/>
              </w:rPr>
            </w:pPr>
            <w:r w:rsidRPr="00657F8C">
              <w:rPr>
                <w:rFonts w:ascii="Times New Roman" w:eastAsia="標楷體" w:hAnsi="Times New Roman" w:cs="Times New Roman"/>
                <w:color w:val="auto"/>
              </w:rPr>
              <w:t>具備邏輯分析能力及團隊合作精</w:t>
            </w:r>
            <w:r w:rsidRPr="00657F8C">
              <w:rPr>
                <w:rFonts w:ascii="Times New Roman" w:eastAsia="標楷體" w:hAnsi="Times New Roman" w:cs="Times New Roman"/>
                <w:color w:val="auto"/>
              </w:rPr>
              <w:lastRenderedPageBreak/>
              <w:t>神等與未來職務發展</w:t>
            </w:r>
            <w:proofErr w:type="gramStart"/>
            <w:r w:rsidRPr="00657F8C">
              <w:rPr>
                <w:rFonts w:ascii="Times New Roman" w:eastAsia="標楷體" w:hAnsi="Times New Roman" w:cs="Times New Roman"/>
                <w:color w:val="auto"/>
              </w:rPr>
              <w:t>適</w:t>
            </w:r>
            <w:proofErr w:type="gramEnd"/>
            <w:r w:rsidRPr="00657F8C">
              <w:rPr>
                <w:rFonts w:ascii="Times New Roman" w:eastAsia="標楷體" w:hAnsi="Times New Roman" w:cs="Times New Roman"/>
                <w:color w:val="auto"/>
              </w:rPr>
              <w:t>任性相關之綜合潛能。</w:t>
            </w:r>
          </w:p>
          <w:p w:rsidR="003E6759" w:rsidRPr="00657F8C" w:rsidRDefault="003E6759" w:rsidP="00657F8C">
            <w:pPr>
              <w:pStyle w:val="TableParagraph"/>
              <w:numPr>
                <w:ilvl w:val="0"/>
                <w:numId w:val="21"/>
              </w:numPr>
              <w:kinsoku w:val="0"/>
              <w:overflowPunct w:val="0"/>
              <w:snapToGrid w:val="0"/>
              <w:ind w:left="482" w:hanging="482"/>
              <w:jc w:val="both"/>
              <w:rPr>
                <w:rFonts w:ascii="Times New Roman" w:cs="Times New Roman"/>
              </w:rPr>
            </w:pPr>
            <w:r w:rsidRPr="00657F8C">
              <w:rPr>
                <w:rFonts w:ascii="Times New Roman" w:cs="Times New Roman"/>
              </w:rPr>
              <w:t>具備能激勵個人或團隊勇於</w:t>
            </w:r>
            <w:proofErr w:type="gramStart"/>
            <w:r w:rsidRPr="00657F8C">
              <w:rPr>
                <w:rFonts w:ascii="Times New Roman" w:cs="Times New Roman"/>
              </w:rPr>
              <w:t>當責及</w:t>
            </w:r>
            <w:proofErr w:type="gramEnd"/>
            <w:r w:rsidRPr="00657F8C">
              <w:rPr>
                <w:rFonts w:ascii="Times New Roman" w:cs="Times New Roman"/>
              </w:rPr>
              <w:t>創新之潛質（擬陞任主管職務者）。</w:t>
            </w:r>
          </w:p>
        </w:tc>
        <w:tc>
          <w:tcPr>
            <w:tcW w:w="2470" w:type="dxa"/>
            <w:gridSpan w:val="2"/>
            <w:vAlign w:val="center"/>
          </w:tcPr>
          <w:p w:rsidR="003E6759" w:rsidRPr="00657F8C" w:rsidRDefault="003E6759" w:rsidP="00657F8C">
            <w:pPr>
              <w:jc w:val="center"/>
              <w:rPr>
                <w:rFonts w:eastAsia="標楷體"/>
              </w:rPr>
            </w:pPr>
            <w:r w:rsidRPr="00657F8C">
              <w:rPr>
                <w:rFonts w:eastAsia="標楷體"/>
                <w:kern w:val="0"/>
              </w:rPr>
              <w:lastRenderedPageBreak/>
              <w:t>12</w:t>
            </w:r>
            <w:r w:rsidRPr="00657F8C">
              <w:rPr>
                <w:rFonts w:eastAsia="標楷體"/>
                <w:kern w:val="0"/>
              </w:rPr>
              <w:t>分</w:t>
            </w:r>
          </w:p>
        </w:tc>
        <w:tc>
          <w:tcPr>
            <w:tcW w:w="4371" w:type="dxa"/>
            <w:vAlign w:val="center"/>
          </w:tcPr>
          <w:p w:rsidR="003E6759" w:rsidRPr="00657F8C" w:rsidRDefault="003E6759" w:rsidP="00657F8C">
            <w:pPr>
              <w:pStyle w:val="Default"/>
              <w:ind w:leftChars="11" w:left="26"/>
              <w:jc w:val="both"/>
              <w:rPr>
                <w:rFonts w:ascii="Times New Roman" w:eastAsia="標楷體" w:hAnsi="Times New Roman" w:cs="Times New Roman"/>
                <w:color w:val="auto"/>
              </w:rPr>
            </w:pPr>
            <w:r w:rsidRPr="00657F8C">
              <w:rPr>
                <w:rFonts w:ascii="Times New Roman" w:eastAsia="標楷體" w:hAnsi="Times New Roman" w:cs="Times New Roman"/>
                <w:color w:val="auto"/>
              </w:rPr>
              <w:t>由職缺單位主管依評分標準作綜合評分。</w:t>
            </w:r>
          </w:p>
        </w:tc>
      </w:tr>
      <w:tr w:rsidR="003E6759" w:rsidRPr="00B90AC6" w:rsidTr="00657F8C">
        <w:trPr>
          <w:jc w:val="center"/>
        </w:trPr>
        <w:tc>
          <w:tcPr>
            <w:tcW w:w="704" w:type="dxa"/>
            <w:vMerge/>
          </w:tcPr>
          <w:p w:rsidR="003E6759" w:rsidRPr="00B90AC6" w:rsidRDefault="003E6759" w:rsidP="00B90AC6">
            <w:pPr>
              <w:pStyle w:val="Default"/>
              <w:snapToGrid w:val="0"/>
              <w:spacing w:line="340" w:lineRule="exact"/>
              <w:jc w:val="both"/>
              <w:rPr>
                <w:rFonts w:ascii="Times New Roman" w:eastAsia="標楷體" w:hAnsi="Times New Roman" w:cs="Times New Roman"/>
              </w:rPr>
            </w:pPr>
          </w:p>
        </w:tc>
        <w:tc>
          <w:tcPr>
            <w:tcW w:w="709" w:type="dxa"/>
            <w:vAlign w:val="center"/>
          </w:tcPr>
          <w:p w:rsidR="003E6759" w:rsidRPr="00B90AC6" w:rsidRDefault="003E6759" w:rsidP="00B90AC6">
            <w:pPr>
              <w:pStyle w:val="Default"/>
              <w:snapToGrid w:val="0"/>
              <w:spacing w:line="340" w:lineRule="exact"/>
              <w:jc w:val="both"/>
              <w:rPr>
                <w:rFonts w:ascii="Times New Roman" w:eastAsia="標楷體" w:hAnsi="Times New Roman" w:cs="Times New Roman"/>
              </w:rPr>
            </w:pPr>
            <w:r w:rsidRPr="00B90AC6">
              <w:rPr>
                <w:rFonts w:ascii="Times New Roman" w:eastAsia="標楷體" w:hAnsi="Times New Roman" w:cs="Times New Roman"/>
              </w:rPr>
              <w:t>職務訓練及進修</w:t>
            </w:r>
          </w:p>
        </w:tc>
        <w:tc>
          <w:tcPr>
            <w:tcW w:w="2508" w:type="dxa"/>
            <w:vAlign w:val="center"/>
          </w:tcPr>
          <w:p w:rsidR="003E6759" w:rsidRPr="00657F8C" w:rsidRDefault="003E6759" w:rsidP="00657F8C">
            <w:pPr>
              <w:pStyle w:val="a4"/>
              <w:numPr>
                <w:ilvl w:val="0"/>
                <w:numId w:val="22"/>
              </w:numPr>
              <w:snapToGrid w:val="0"/>
              <w:ind w:leftChars="0" w:left="482" w:hanging="482"/>
              <w:jc w:val="both"/>
              <w:rPr>
                <w:rFonts w:eastAsia="標楷體"/>
              </w:rPr>
            </w:pPr>
            <w:r w:rsidRPr="00657F8C">
              <w:rPr>
                <w:rFonts w:eastAsia="標楷體"/>
              </w:rPr>
              <w:t>現職、同職務列等或同一</w:t>
            </w:r>
            <w:proofErr w:type="gramStart"/>
            <w:r w:rsidRPr="00657F8C">
              <w:rPr>
                <w:rFonts w:eastAsia="標楷體"/>
              </w:rPr>
              <w:t>陞</w:t>
            </w:r>
            <w:proofErr w:type="gramEnd"/>
            <w:r w:rsidRPr="00657F8C">
              <w:rPr>
                <w:rFonts w:eastAsia="標楷體"/>
              </w:rPr>
              <w:t>遷序列職務期間之最近</w:t>
            </w:r>
            <w:r w:rsidRPr="00657F8C">
              <w:rPr>
                <w:rFonts w:eastAsia="標楷體"/>
              </w:rPr>
              <w:t>5</w:t>
            </w:r>
            <w:r w:rsidRPr="00657F8C">
              <w:rPr>
                <w:rFonts w:eastAsia="標楷體"/>
              </w:rPr>
              <w:t>年內取得與業務相關學習時數，每滿</w:t>
            </w:r>
            <w:r w:rsidRPr="00657F8C">
              <w:rPr>
                <w:rFonts w:eastAsia="標楷體"/>
              </w:rPr>
              <w:t>50</w:t>
            </w:r>
            <w:r w:rsidRPr="00657F8C">
              <w:rPr>
                <w:rFonts w:eastAsia="標楷體"/>
              </w:rPr>
              <w:t>小時，給予</w:t>
            </w:r>
            <w:r w:rsidRPr="00657F8C">
              <w:rPr>
                <w:rFonts w:eastAsia="標楷體"/>
              </w:rPr>
              <w:t>2</w:t>
            </w:r>
            <w:r w:rsidRPr="00657F8C">
              <w:rPr>
                <w:rFonts w:eastAsia="標楷體"/>
              </w:rPr>
              <w:t>分。</w:t>
            </w:r>
          </w:p>
          <w:p w:rsidR="003E6759" w:rsidRPr="00657F8C" w:rsidRDefault="003E6759" w:rsidP="00657F8C">
            <w:pPr>
              <w:pStyle w:val="a4"/>
              <w:numPr>
                <w:ilvl w:val="0"/>
                <w:numId w:val="22"/>
              </w:numPr>
              <w:snapToGrid w:val="0"/>
              <w:ind w:leftChars="0" w:left="482" w:hanging="482"/>
              <w:jc w:val="both"/>
              <w:rPr>
                <w:rFonts w:eastAsia="標楷體"/>
                <w:kern w:val="0"/>
              </w:rPr>
            </w:pPr>
            <w:r w:rsidRPr="00657F8C">
              <w:rPr>
                <w:rFonts w:eastAsia="標楷體"/>
                <w:kern w:val="0"/>
              </w:rPr>
              <w:t>五年內選修公務人力發展中心預定訓練「管理核心能力課程」</w:t>
            </w:r>
            <w:r w:rsidRPr="00657F8C">
              <w:rPr>
                <w:rFonts w:eastAsia="標楷體"/>
                <w:kern w:val="0"/>
              </w:rPr>
              <w:t>1</w:t>
            </w:r>
            <w:r w:rsidRPr="00657F8C">
              <w:rPr>
                <w:rFonts w:eastAsia="標楷體"/>
                <w:kern w:val="0"/>
              </w:rPr>
              <w:t>門，給予</w:t>
            </w:r>
            <w:r w:rsidRPr="00657F8C">
              <w:rPr>
                <w:rFonts w:eastAsia="標楷體"/>
                <w:kern w:val="0"/>
              </w:rPr>
              <w:t>4</w:t>
            </w:r>
            <w:r w:rsidRPr="00657F8C">
              <w:rPr>
                <w:rFonts w:eastAsia="標楷體"/>
                <w:kern w:val="0"/>
              </w:rPr>
              <w:t>分。</w:t>
            </w:r>
          </w:p>
          <w:p w:rsidR="003E6759" w:rsidRPr="00657F8C" w:rsidRDefault="003E6759" w:rsidP="00657F8C">
            <w:pPr>
              <w:pStyle w:val="a4"/>
              <w:numPr>
                <w:ilvl w:val="0"/>
                <w:numId w:val="22"/>
              </w:numPr>
              <w:snapToGrid w:val="0"/>
              <w:ind w:leftChars="0" w:left="482" w:hanging="482"/>
              <w:jc w:val="both"/>
              <w:rPr>
                <w:rFonts w:eastAsia="標楷體"/>
              </w:rPr>
            </w:pPr>
            <w:r w:rsidRPr="00657F8C">
              <w:rPr>
                <w:rFonts w:eastAsia="標楷體"/>
                <w:kern w:val="0"/>
              </w:rPr>
              <w:t>近</w:t>
            </w:r>
            <w:r w:rsidRPr="00657F8C">
              <w:rPr>
                <w:rFonts w:eastAsia="標楷體"/>
                <w:kern w:val="0"/>
              </w:rPr>
              <w:t>5</w:t>
            </w:r>
            <w:r w:rsidRPr="00657F8C">
              <w:rPr>
                <w:rFonts w:eastAsia="標楷體"/>
                <w:kern w:val="0"/>
              </w:rPr>
              <w:t>年內參與人事室配合政府政策</w:t>
            </w:r>
            <w:r w:rsidRPr="00657F8C">
              <w:rPr>
                <w:rFonts w:eastAsia="標楷體"/>
                <w:kern w:val="0"/>
              </w:rPr>
              <w:t>(</w:t>
            </w:r>
            <w:r w:rsidRPr="00657F8C">
              <w:rPr>
                <w:rFonts w:eastAsia="標楷體"/>
                <w:kern w:val="0"/>
              </w:rPr>
              <w:t>不</w:t>
            </w:r>
            <w:proofErr w:type="gramStart"/>
            <w:r w:rsidRPr="00657F8C">
              <w:rPr>
                <w:rFonts w:eastAsia="標楷體"/>
                <w:kern w:val="0"/>
              </w:rPr>
              <w:t>含資安</w:t>
            </w:r>
            <w:proofErr w:type="gramEnd"/>
            <w:r w:rsidRPr="00657F8C">
              <w:rPr>
                <w:rFonts w:eastAsia="標楷體"/>
                <w:kern w:val="0"/>
              </w:rPr>
              <w:t>、個資及性平課程</w:t>
            </w:r>
            <w:r w:rsidRPr="00657F8C">
              <w:rPr>
                <w:rFonts w:eastAsia="標楷體"/>
                <w:kern w:val="0"/>
              </w:rPr>
              <w:t>)</w:t>
            </w:r>
            <w:r w:rsidRPr="00657F8C">
              <w:rPr>
                <w:rFonts w:eastAsia="標楷體"/>
                <w:kern w:val="0"/>
              </w:rPr>
              <w:t>舉辦之教育訓練，</w:t>
            </w:r>
            <w:proofErr w:type="gramStart"/>
            <w:r w:rsidRPr="00657F8C">
              <w:rPr>
                <w:rFonts w:eastAsia="標楷體"/>
                <w:kern w:val="0"/>
              </w:rPr>
              <w:t>達參</w:t>
            </w:r>
            <w:proofErr w:type="gramEnd"/>
            <w:r w:rsidRPr="00657F8C">
              <w:rPr>
                <w:rFonts w:eastAsia="標楷體"/>
                <w:kern w:val="0"/>
              </w:rPr>
              <w:t>訓完成率</w:t>
            </w:r>
            <w:r w:rsidRPr="00657F8C">
              <w:rPr>
                <w:rFonts w:eastAsia="標楷體"/>
                <w:kern w:val="0"/>
              </w:rPr>
              <w:t>90%</w:t>
            </w:r>
            <w:r w:rsidRPr="00657F8C">
              <w:rPr>
                <w:rFonts w:eastAsia="標楷體"/>
                <w:kern w:val="0"/>
              </w:rPr>
              <w:t>以上，給予</w:t>
            </w:r>
            <w:r w:rsidRPr="00657F8C">
              <w:rPr>
                <w:rFonts w:eastAsia="標楷體"/>
                <w:kern w:val="0"/>
              </w:rPr>
              <w:t>3</w:t>
            </w:r>
            <w:r w:rsidRPr="00657F8C">
              <w:rPr>
                <w:rFonts w:eastAsia="標楷體"/>
                <w:kern w:val="0"/>
              </w:rPr>
              <w:t>分</w:t>
            </w:r>
            <w:r w:rsidRPr="00657F8C">
              <w:rPr>
                <w:rFonts w:eastAsia="標楷體" w:hint="eastAsia"/>
                <w:kern w:val="0"/>
              </w:rPr>
              <w:t>。</w:t>
            </w:r>
          </w:p>
        </w:tc>
        <w:tc>
          <w:tcPr>
            <w:tcW w:w="2470" w:type="dxa"/>
            <w:gridSpan w:val="2"/>
            <w:vAlign w:val="center"/>
          </w:tcPr>
          <w:p w:rsidR="003E6759" w:rsidRPr="00657F8C" w:rsidRDefault="003E6759" w:rsidP="00657F8C">
            <w:pPr>
              <w:jc w:val="center"/>
              <w:rPr>
                <w:rFonts w:eastAsia="標楷體"/>
              </w:rPr>
            </w:pPr>
            <w:r w:rsidRPr="00657F8C">
              <w:rPr>
                <w:rFonts w:eastAsia="標楷體"/>
                <w:kern w:val="0"/>
              </w:rPr>
              <w:t>4</w:t>
            </w:r>
            <w:r w:rsidRPr="00657F8C">
              <w:rPr>
                <w:rFonts w:eastAsia="標楷體"/>
                <w:kern w:val="0"/>
              </w:rPr>
              <w:t>分</w:t>
            </w:r>
          </w:p>
        </w:tc>
        <w:tc>
          <w:tcPr>
            <w:tcW w:w="4371" w:type="dxa"/>
          </w:tcPr>
          <w:p w:rsidR="003E6759" w:rsidRPr="00657F8C" w:rsidRDefault="003E6759" w:rsidP="00657F8C">
            <w:pPr>
              <w:jc w:val="both"/>
              <w:rPr>
                <w:rFonts w:eastAsia="標楷體"/>
              </w:rPr>
            </w:pPr>
            <w:r w:rsidRPr="00657F8C">
              <w:rPr>
                <w:rFonts w:eastAsia="標楷體"/>
              </w:rPr>
              <w:t>本項</w:t>
            </w:r>
            <w:proofErr w:type="gramStart"/>
            <w:r w:rsidRPr="00657F8C">
              <w:rPr>
                <w:rFonts w:eastAsia="標楷體"/>
              </w:rPr>
              <w:t>採</w:t>
            </w:r>
            <w:proofErr w:type="gramEnd"/>
            <w:r w:rsidRPr="00657F8C">
              <w:rPr>
                <w:rFonts w:eastAsia="標楷體"/>
              </w:rPr>
              <w:t>計現職、同職務列等或同一陞遷序列職務期間之最近五年內，與擬陞任職務性質相關之訓練、進修等活動之時數：</w:t>
            </w:r>
          </w:p>
          <w:p w:rsidR="003E6759" w:rsidRPr="00657F8C" w:rsidRDefault="003E6759" w:rsidP="00657F8C">
            <w:pPr>
              <w:pStyle w:val="a4"/>
              <w:numPr>
                <w:ilvl w:val="0"/>
                <w:numId w:val="23"/>
              </w:numPr>
              <w:ind w:leftChars="0"/>
              <w:jc w:val="both"/>
              <w:rPr>
                <w:rFonts w:eastAsia="標楷體"/>
              </w:rPr>
            </w:pPr>
            <w:r w:rsidRPr="00657F8C">
              <w:rPr>
                <w:rFonts w:eastAsia="標楷體"/>
              </w:rPr>
              <w:t>以登載於「公務人員終身學習入口網站」之終身學習時數予以計分；非登載於前述網站之時數，須提供相關時數</w:t>
            </w:r>
            <w:r w:rsidRPr="00657F8C">
              <w:rPr>
                <w:rFonts w:eastAsia="標楷體"/>
              </w:rPr>
              <w:t>/</w:t>
            </w:r>
            <w:r w:rsidRPr="00657F8C">
              <w:rPr>
                <w:rFonts w:eastAsia="標楷體"/>
              </w:rPr>
              <w:t>學分證明文件，每滿</w:t>
            </w:r>
            <w:r w:rsidRPr="00657F8C">
              <w:rPr>
                <w:rFonts w:eastAsia="標楷體"/>
              </w:rPr>
              <w:t>50</w:t>
            </w:r>
            <w:r w:rsidRPr="00657F8C">
              <w:rPr>
                <w:rFonts w:eastAsia="標楷體"/>
              </w:rPr>
              <w:t>小時，給予</w:t>
            </w:r>
            <w:r w:rsidRPr="00657F8C">
              <w:rPr>
                <w:rFonts w:eastAsia="標楷體"/>
              </w:rPr>
              <w:t>2</w:t>
            </w:r>
            <w:r w:rsidRPr="00657F8C">
              <w:rPr>
                <w:rFonts w:eastAsia="標楷體"/>
              </w:rPr>
              <w:t>分。</w:t>
            </w:r>
          </w:p>
          <w:p w:rsidR="003E6759" w:rsidRPr="00657F8C" w:rsidRDefault="003E6759" w:rsidP="00657F8C">
            <w:pPr>
              <w:pStyle w:val="a4"/>
              <w:numPr>
                <w:ilvl w:val="0"/>
                <w:numId w:val="23"/>
              </w:numPr>
              <w:ind w:leftChars="0"/>
              <w:jc w:val="both"/>
              <w:rPr>
                <w:rFonts w:eastAsia="標楷體"/>
              </w:rPr>
            </w:pPr>
            <w:r w:rsidRPr="00657F8C">
              <w:rPr>
                <w:rFonts w:eastAsia="標楷體"/>
              </w:rPr>
              <w:t>「管理核心能力課程」係指行政院人事行政總處公務人力發展學院依行政院訂頒之行政院所屬機關中高階主管職務管理核心能力項目開辦之相關班別課程。</w:t>
            </w:r>
          </w:p>
          <w:p w:rsidR="003E6759" w:rsidRPr="00657F8C" w:rsidRDefault="003E6759" w:rsidP="00657F8C">
            <w:pPr>
              <w:pStyle w:val="a4"/>
              <w:numPr>
                <w:ilvl w:val="0"/>
                <w:numId w:val="23"/>
              </w:numPr>
              <w:ind w:leftChars="0"/>
              <w:jc w:val="both"/>
              <w:rPr>
                <w:rFonts w:eastAsia="標楷體"/>
              </w:rPr>
            </w:pPr>
            <w:r w:rsidRPr="00657F8C">
              <w:rPr>
                <w:rFonts w:eastAsia="標楷體"/>
              </w:rPr>
              <w:t>政府政策相關課程或訓練，係指行政院人事行政總處依國家當前政府重大政策所辦理之政策性訓練課程。</w:t>
            </w:r>
          </w:p>
          <w:p w:rsidR="003E6759" w:rsidRPr="00657F8C" w:rsidRDefault="003E6759" w:rsidP="00657F8C">
            <w:pPr>
              <w:pStyle w:val="a4"/>
              <w:numPr>
                <w:ilvl w:val="0"/>
                <w:numId w:val="23"/>
              </w:numPr>
              <w:ind w:leftChars="0"/>
              <w:jc w:val="both"/>
            </w:pPr>
            <w:r w:rsidRPr="00657F8C">
              <w:rPr>
                <w:rFonts w:eastAsia="標楷體"/>
              </w:rPr>
              <w:t>以上三項不得重覆計算。</w:t>
            </w:r>
          </w:p>
        </w:tc>
      </w:tr>
      <w:tr w:rsidR="003E6759" w:rsidRPr="00B90AC6" w:rsidTr="00657F8C">
        <w:trPr>
          <w:jc w:val="center"/>
        </w:trPr>
        <w:tc>
          <w:tcPr>
            <w:tcW w:w="704" w:type="dxa"/>
            <w:vMerge/>
          </w:tcPr>
          <w:p w:rsidR="003E6759" w:rsidRPr="00B90AC6" w:rsidRDefault="003E6759" w:rsidP="00B90AC6">
            <w:pPr>
              <w:pStyle w:val="Default"/>
              <w:snapToGrid w:val="0"/>
              <w:spacing w:line="340" w:lineRule="exact"/>
              <w:jc w:val="both"/>
              <w:rPr>
                <w:rFonts w:ascii="Times New Roman" w:eastAsia="標楷體" w:hAnsi="Times New Roman" w:cs="Times New Roman"/>
              </w:rPr>
            </w:pPr>
          </w:p>
        </w:tc>
        <w:tc>
          <w:tcPr>
            <w:tcW w:w="709" w:type="dxa"/>
            <w:vAlign w:val="center"/>
          </w:tcPr>
          <w:p w:rsidR="003E6759" w:rsidRPr="00B90AC6" w:rsidRDefault="003E6759" w:rsidP="00B90AC6">
            <w:pPr>
              <w:pStyle w:val="Default"/>
              <w:snapToGrid w:val="0"/>
              <w:spacing w:line="340" w:lineRule="exact"/>
              <w:jc w:val="both"/>
              <w:rPr>
                <w:rFonts w:ascii="Times New Roman" w:eastAsia="標楷體" w:hAnsi="Times New Roman" w:cs="Times New Roman"/>
              </w:rPr>
            </w:pPr>
            <w:r w:rsidRPr="00B90AC6">
              <w:rPr>
                <w:rFonts w:ascii="Times New Roman" w:eastAsia="標楷體" w:hAnsi="Times New Roman" w:cs="Times New Roman"/>
              </w:rPr>
              <w:t>領導及管理能力</w:t>
            </w:r>
          </w:p>
        </w:tc>
        <w:tc>
          <w:tcPr>
            <w:tcW w:w="2508" w:type="dxa"/>
          </w:tcPr>
          <w:p w:rsidR="003E6759" w:rsidRPr="00657F8C" w:rsidRDefault="003E6759" w:rsidP="003E6759">
            <w:pPr>
              <w:jc w:val="both"/>
              <w:rPr>
                <w:rFonts w:eastAsia="標楷體"/>
              </w:rPr>
            </w:pPr>
            <w:r w:rsidRPr="00657F8C">
              <w:rPr>
                <w:rFonts w:eastAsia="標楷體"/>
              </w:rPr>
              <w:t>具備下列與獲致工作績效相關之各項管理能力：</w:t>
            </w:r>
          </w:p>
          <w:p w:rsidR="003E6759" w:rsidRPr="00657F8C" w:rsidRDefault="003E6759" w:rsidP="003E6759">
            <w:pPr>
              <w:pStyle w:val="a4"/>
              <w:numPr>
                <w:ilvl w:val="0"/>
                <w:numId w:val="24"/>
              </w:numPr>
              <w:ind w:leftChars="0"/>
              <w:jc w:val="both"/>
              <w:rPr>
                <w:rFonts w:eastAsia="標楷體"/>
              </w:rPr>
            </w:pPr>
            <w:r w:rsidRPr="00657F8C">
              <w:rPr>
                <w:rFonts w:eastAsia="標楷體"/>
              </w:rPr>
              <w:t>領導與團隊管理能力。</w:t>
            </w:r>
          </w:p>
          <w:p w:rsidR="003E6759" w:rsidRPr="00657F8C" w:rsidRDefault="003E6759" w:rsidP="003E6759">
            <w:pPr>
              <w:pStyle w:val="a4"/>
              <w:numPr>
                <w:ilvl w:val="0"/>
                <w:numId w:val="24"/>
              </w:numPr>
              <w:ind w:leftChars="0"/>
              <w:jc w:val="both"/>
              <w:rPr>
                <w:rFonts w:eastAsia="標楷體"/>
              </w:rPr>
            </w:pPr>
            <w:r w:rsidRPr="00657F8C">
              <w:rPr>
                <w:rFonts w:eastAsia="標楷體"/>
              </w:rPr>
              <w:t>業務風險管理能力。</w:t>
            </w:r>
          </w:p>
          <w:p w:rsidR="003E6759" w:rsidRPr="00657F8C" w:rsidRDefault="003E6759" w:rsidP="003E6759">
            <w:pPr>
              <w:pStyle w:val="a4"/>
              <w:numPr>
                <w:ilvl w:val="0"/>
                <w:numId w:val="24"/>
              </w:numPr>
              <w:ind w:leftChars="0"/>
              <w:jc w:val="both"/>
              <w:rPr>
                <w:rFonts w:eastAsia="標楷體"/>
              </w:rPr>
            </w:pPr>
            <w:r w:rsidRPr="00657F8C">
              <w:rPr>
                <w:rFonts w:eastAsia="標楷體"/>
              </w:rPr>
              <w:t>溝通及論述能力。</w:t>
            </w:r>
          </w:p>
          <w:p w:rsidR="003E6759" w:rsidRPr="00657F8C" w:rsidRDefault="003E6759" w:rsidP="003E6759">
            <w:pPr>
              <w:pStyle w:val="a4"/>
              <w:numPr>
                <w:ilvl w:val="0"/>
                <w:numId w:val="24"/>
              </w:numPr>
              <w:ind w:leftChars="0"/>
              <w:jc w:val="both"/>
              <w:rPr>
                <w:rFonts w:eastAsia="標楷體"/>
              </w:rPr>
            </w:pPr>
            <w:r w:rsidRPr="00657F8C">
              <w:rPr>
                <w:rFonts w:eastAsia="標楷體"/>
              </w:rPr>
              <w:t>情緒管理能力。</w:t>
            </w:r>
          </w:p>
          <w:p w:rsidR="003E6759" w:rsidRPr="00B90AC6" w:rsidRDefault="003E6759" w:rsidP="003E6759">
            <w:pPr>
              <w:pStyle w:val="a4"/>
              <w:numPr>
                <w:ilvl w:val="0"/>
                <w:numId w:val="24"/>
              </w:numPr>
              <w:ind w:leftChars="0"/>
              <w:jc w:val="both"/>
            </w:pPr>
            <w:r w:rsidRPr="00657F8C">
              <w:rPr>
                <w:rFonts w:eastAsia="標楷體"/>
              </w:rPr>
              <w:t>其他能獲致工作績效相關之各項領導及管理能力。</w:t>
            </w:r>
          </w:p>
        </w:tc>
        <w:tc>
          <w:tcPr>
            <w:tcW w:w="1177" w:type="dxa"/>
            <w:tcBorders>
              <w:tl2br w:val="single" w:sz="4" w:space="0" w:color="auto"/>
            </w:tcBorders>
          </w:tcPr>
          <w:p w:rsidR="003E6759" w:rsidRPr="00B90AC6" w:rsidRDefault="003E6759" w:rsidP="00B90AC6">
            <w:pPr>
              <w:jc w:val="both"/>
              <w:rPr>
                <w:rFonts w:eastAsia="標楷體"/>
              </w:rPr>
            </w:pPr>
          </w:p>
        </w:tc>
        <w:tc>
          <w:tcPr>
            <w:tcW w:w="1293" w:type="dxa"/>
            <w:vAlign w:val="center"/>
          </w:tcPr>
          <w:p w:rsidR="003E6759" w:rsidRPr="00B90AC6" w:rsidRDefault="003E6759" w:rsidP="00B90AC6">
            <w:pPr>
              <w:jc w:val="both"/>
              <w:rPr>
                <w:rFonts w:eastAsia="標楷體"/>
              </w:rPr>
            </w:pPr>
            <w:r w:rsidRPr="00B90AC6">
              <w:rPr>
                <w:rFonts w:eastAsia="標楷體"/>
                <w:color w:val="000000"/>
                <w:kern w:val="0"/>
              </w:rPr>
              <w:t>10</w:t>
            </w:r>
            <w:r w:rsidRPr="00B90AC6">
              <w:rPr>
                <w:rFonts w:eastAsia="標楷體"/>
                <w:color w:val="000000"/>
                <w:kern w:val="0"/>
              </w:rPr>
              <w:t>分</w:t>
            </w:r>
          </w:p>
        </w:tc>
        <w:tc>
          <w:tcPr>
            <w:tcW w:w="4371" w:type="dxa"/>
          </w:tcPr>
          <w:p w:rsidR="003E6759" w:rsidRPr="003E6759" w:rsidRDefault="003E6759" w:rsidP="003E6759">
            <w:pPr>
              <w:pStyle w:val="a4"/>
              <w:numPr>
                <w:ilvl w:val="0"/>
                <w:numId w:val="25"/>
              </w:numPr>
              <w:ind w:leftChars="0"/>
              <w:jc w:val="both"/>
              <w:rPr>
                <w:rFonts w:eastAsia="標楷體"/>
              </w:rPr>
            </w:pPr>
            <w:r w:rsidRPr="003E6759">
              <w:rPr>
                <w:rFonts w:eastAsia="標楷體"/>
              </w:rPr>
              <w:t>本項</w:t>
            </w:r>
            <w:proofErr w:type="gramStart"/>
            <w:r w:rsidRPr="003E6759">
              <w:rPr>
                <w:rFonts w:eastAsia="標楷體"/>
              </w:rPr>
              <w:t>配分僅限於</w:t>
            </w:r>
            <w:proofErr w:type="gramEnd"/>
            <w:r w:rsidRPr="003E6759">
              <w:rPr>
                <w:rFonts w:eastAsia="標楷體"/>
              </w:rPr>
              <w:t>擬陞任主管職務。</w:t>
            </w:r>
          </w:p>
          <w:p w:rsidR="003E6759" w:rsidRPr="003E6759" w:rsidRDefault="003E6759" w:rsidP="003E6759">
            <w:pPr>
              <w:pStyle w:val="a4"/>
              <w:numPr>
                <w:ilvl w:val="0"/>
                <w:numId w:val="25"/>
              </w:numPr>
              <w:ind w:leftChars="0"/>
              <w:jc w:val="both"/>
              <w:rPr>
                <w:rFonts w:eastAsia="標楷體"/>
              </w:rPr>
            </w:pPr>
            <w:r w:rsidRPr="003E6759">
              <w:rPr>
                <w:rFonts w:eastAsia="標楷體"/>
              </w:rPr>
              <w:t>評分標準包含下列內涵：</w:t>
            </w:r>
          </w:p>
          <w:p w:rsidR="003E6759" w:rsidRPr="003E6759" w:rsidRDefault="003E6759" w:rsidP="003E6759">
            <w:pPr>
              <w:pStyle w:val="a4"/>
              <w:numPr>
                <w:ilvl w:val="1"/>
                <w:numId w:val="25"/>
              </w:numPr>
              <w:ind w:leftChars="0" w:left="721" w:hanging="426"/>
              <w:jc w:val="both"/>
              <w:rPr>
                <w:rFonts w:eastAsia="標楷體"/>
              </w:rPr>
            </w:pPr>
            <w:r w:rsidRPr="003E6759">
              <w:rPr>
                <w:rFonts w:eastAsia="標楷體"/>
              </w:rPr>
              <w:t>領導與團隊管理能力，指引領團隊合作，完成機關任務之能力。</w:t>
            </w:r>
          </w:p>
          <w:p w:rsidR="003E6759" w:rsidRPr="003E6759" w:rsidRDefault="003E6759" w:rsidP="003E6759">
            <w:pPr>
              <w:pStyle w:val="a4"/>
              <w:numPr>
                <w:ilvl w:val="1"/>
                <w:numId w:val="25"/>
              </w:numPr>
              <w:ind w:leftChars="0" w:left="721" w:hanging="426"/>
              <w:jc w:val="both"/>
              <w:rPr>
                <w:rFonts w:eastAsia="標楷體"/>
              </w:rPr>
            </w:pPr>
            <w:r w:rsidRPr="003E6759">
              <w:rPr>
                <w:rFonts w:eastAsia="標楷體"/>
              </w:rPr>
              <w:t>業務風險管理能力，指對外在環境具備敏感度，能掌握業務推動時的潛在風險，並有效降低風險發生及因應風險及時降低損害之能力。</w:t>
            </w:r>
          </w:p>
          <w:p w:rsidR="003E6759" w:rsidRPr="003E6759" w:rsidRDefault="003E6759" w:rsidP="003E6759">
            <w:pPr>
              <w:pStyle w:val="a4"/>
              <w:numPr>
                <w:ilvl w:val="1"/>
                <w:numId w:val="25"/>
              </w:numPr>
              <w:ind w:leftChars="0" w:left="721" w:hanging="426"/>
              <w:jc w:val="both"/>
              <w:rPr>
                <w:rFonts w:eastAsia="標楷體"/>
              </w:rPr>
            </w:pPr>
            <w:r w:rsidRPr="003E6759">
              <w:rPr>
                <w:rFonts w:eastAsia="標楷體"/>
              </w:rPr>
              <w:t>溝通及論述能力，指能善用各種溝通媒體工具，就推動業務所涉及之不同利害關係人，以簡潔、清晰方式，進行口頭、文字說明，爭取支持之能力。</w:t>
            </w:r>
          </w:p>
          <w:p w:rsidR="003E6759" w:rsidRPr="003E6759" w:rsidRDefault="003E6759" w:rsidP="003E6759">
            <w:pPr>
              <w:pStyle w:val="a4"/>
              <w:numPr>
                <w:ilvl w:val="1"/>
                <w:numId w:val="25"/>
              </w:numPr>
              <w:ind w:leftChars="0" w:left="721" w:hanging="426"/>
              <w:jc w:val="both"/>
              <w:rPr>
                <w:rFonts w:eastAsia="標楷體"/>
              </w:rPr>
            </w:pPr>
            <w:r w:rsidRPr="003E6759">
              <w:rPr>
                <w:rFonts w:eastAsia="標楷體"/>
              </w:rPr>
              <w:lastRenderedPageBreak/>
              <w:t>情緒管理能力，指能妥適處理及表達自身情緒，並具備同理心之能力。</w:t>
            </w:r>
          </w:p>
          <w:p w:rsidR="003E6759" w:rsidRPr="00B90AC6" w:rsidRDefault="003E6759" w:rsidP="003E6759">
            <w:pPr>
              <w:pStyle w:val="a4"/>
              <w:numPr>
                <w:ilvl w:val="0"/>
                <w:numId w:val="25"/>
              </w:numPr>
              <w:ind w:leftChars="0"/>
              <w:jc w:val="both"/>
            </w:pPr>
            <w:r w:rsidRPr="003E6759">
              <w:rPr>
                <w:rFonts w:eastAsia="標楷體"/>
              </w:rPr>
              <w:t>由職缺單位主管考評；必要時得由職員</w:t>
            </w:r>
            <w:proofErr w:type="gramStart"/>
            <w:r w:rsidRPr="003E6759">
              <w:rPr>
                <w:rFonts w:eastAsia="標楷體"/>
              </w:rPr>
              <w:t>甄審暨</w:t>
            </w:r>
            <w:proofErr w:type="gramEnd"/>
            <w:r w:rsidRPr="003E6759">
              <w:rPr>
                <w:rFonts w:eastAsia="標楷體"/>
              </w:rPr>
              <w:t>考績委員會於本項配分</w:t>
            </w:r>
            <w:proofErr w:type="gramStart"/>
            <w:r w:rsidRPr="003E6759">
              <w:rPr>
                <w:rFonts w:eastAsia="標楷體"/>
              </w:rPr>
              <w:t>上限內酌</w:t>
            </w:r>
            <w:proofErr w:type="gramEnd"/>
            <w:r w:rsidRPr="003E6759">
              <w:rPr>
                <w:rFonts w:eastAsia="標楷體"/>
              </w:rPr>
              <w:t>予加、減分。</w:t>
            </w:r>
          </w:p>
        </w:tc>
      </w:tr>
      <w:tr w:rsidR="00672CCD" w:rsidRPr="00B90AC6" w:rsidTr="003E6759">
        <w:trPr>
          <w:jc w:val="center"/>
        </w:trPr>
        <w:tc>
          <w:tcPr>
            <w:tcW w:w="704" w:type="dxa"/>
            <w:vAlign w:val="center"/>
          </w:tcPr>
          <w:p w:rsidR="00672CCD" w:rsidRPr="00B90AC6" w:rsidRDefault="00672CCD" w:rsidP="00B90AC6">
            <w:pPr>
              <w:pStyle w:val="Default"/>
              <w:snapToGrid w:val="0"/>
              <w:spacing w:line="340" w:lineRule="exact"/>
              <w:jc w:val="both"/>
              <w:rPr>
                <w:rFonts w:ascii="Times New Roman" w:eastAsia="標楷體" w:hAnsi="Times New Roman" w:cs="Times New Roman"/>
              </w:rPr>
            </w:pPr>
            <w:r w:rsidRPr="00B90AC6">
              <w:rPr>
                <w:rFonts w:ascii="Times New Roman" w:eastAsia="標楷體" w:hAnsi="Times New Roman" w:cs="Times New Roman"/>
              </w:rPr>
              <w:lastRenderedPageBreak/>
              <w:t>面試或業務測驗</w:t>
            </w:r>
          </w:p>
        </w:tc>
        <w:tc>
          <w:tcPr>
            <w:tcW w:w="3217" w:type="dxa"/>
            <w:gridSpan w:val="2"/>
            <w:vAlign w:val="center"/>
          </w:tcPr>
          <w:p w:rsidR="00672CCD" w:rsidRPr="00B90AC6" w:rsidRDefault="00672CCD" w:rsidP="003E6759">
            <w:pPr>
              <w:pStyle w:val="TableParagraph"/>
              <w:kinsoku w:val="0"/>
              <w:overflowPunct w:val="0"/>
              <w:snapToGrid w:val="0"/>
              <w:spacing w:line="340" w:lineRule="exact"/>
              <w:jc w:val="both"/>
              <w:rPr>
                <w:rFonts w:ascii="Times New Roman" w:cs="Times New Roman"/>
              </w:rPr>
            </w:pPr>
            <w:r w:rsidRPr="00B90AC6">
              <w:rPr>
                <w:rFonts w:ascii="Times New Roman" w:cs="Times New Roman"/>
              </w:rPr>
              <w:t>視出缺職務實際需要，由校長或經授權之用人單位主管決定之。</w:t>
            </w:r>
          </w:p>
        </w:tc>
        <w:tc>
          <w:tcPr>
            <w:tcW w:w="2470" w:type="dxa"/>
            <w:gridSpan w:val="2"/>
            <w:vAlign w:val="center"/>
          </w:tcPr>
          <w:p w:rsidR="00672CCD" w:rsidRPr="00B90AC6" w:rsidRDefault="00672CCD" w:rsidP="003E6759">
            <w:pPr>
              <w:jc w:val="center"/>
              <w:rPr>
                <w:rFonts w:eastAsia="標楷體"/>
              </w:rPr>
            </w:pPr>
            <w:r w:rsidRPr="00B90AC6">
              <w:rPr>
                <w:rFonts w:eastAsia="標楷體"/>
              </w:rPr>
              <w:t>百分比計分</w:t>
            </w:r>
          </w:p>
        </w:tc>
        <w:tc>
          <w:tcPr>
            <w:tcW w:w="4371" w:type="dxa"/>
          </w:tcPr>
          <w:p w:rsidR="002F1D47" w:rsidRPr="003E6759" w:rsidRDefault="002F1D47" w:rsidP="003E6759">
            <w:pPr>
              <w:pStyle w:val="a4"/>
              <w:numPr>
                <w:ilvl w:val="0"/>
                <w:numId w:val="26"/>
              </w:numPr>
              <w:ind w:leftChars="0"/>
              <w:jc w:val="both"/>
              <w:rPr>
                <w:rFonts w:eastAsia="標楷體"/>
              </w:rPr>
            </w:pPr>
            <w:r w:rsidRPr="003E6759">
              <w:rPr>
                <w:rFonts w:eastAsia="標楷體"/>
              </w:rPr>
              <w:t>如有舉行面試或業務測驗，</w:t>
            </w:r>
            <w:proofErr w:type="gramStart"/>
            <w:r w:rsidRPr="003E6759">
              <w:rPr>
                <w:rFonts w:eastAsia="標楷體"/>
              </w:rPr>
              <w:t>本項占總</w:t>
            </w:r>
            <w:proofErr w:type="gramEnd"/>
            <w:r w:rsidRPr="003E6759">
              <w:rPr>
                <w:rFonts w:eastAsia="標楷體"/>
              </w:rPr>
              <w:t>成績百分之</w:t>
            </w:r>
            <w:proofErr w:type="gramStart"/>
            <w:r w:rsidRPr="003E6759">
              <w:rPr>
                <w:rFonts w:eastAsia="標楷體"/>
              </w:rPr>
              <w:t>2</w:t>
            </w:r>
            <w:proofErr w:type="gramEnd"/>
            <w:r w:rsidRPr="003E6759">
              <w:rPr>
                <w:rFonts w:eastAsia="標楷體"/>
              </w:rPr>
              <w:t>0</w:t>
            </w:r>
            <w:r w:rsidRPr="003E6759">
              <w:rPr>
                <w:rFonts w:eastAsia="標楷體"/>
              </w:rPr>
              <w:t>，其餘「基本選項」、「工作績效」、「職務適任性」及「首長綜合考評」等項合計分數占總成績百分之</w:t>
            </w:r>
            <w:proofErr w:type="gramStart"/>
            <w:r w:rsidRPr="003E6759">
              <w:rPr>
                <w:rFonts w:eastAsia="標楷體"/>
              </w:rPr>
              <w:t>8</w:t>
            </w:r>
            <w:proofErr w:type="gramEnd"/>
            <w:r w:rsidRPr="003E6759">
              <w:rPr>
                <w:rFonts w:eastAsia="標楷體"/>
              </w:rPr>
              <w:t>0</w:t>
            </w:r>
            <w:r w:rsidRPr="003E6759">
              <w:rPr>
                <w:rFonts w:eastAsia="標楷體"/>
              </w:rPr>
              <w:t>（即乘以</w:t>
            </w:r>
            <w:r w:rsidRPr="003E6759">
              <w:rPr>
                <w:rFonts w:eastAsia="標楷體"/>
              </w:rPr>
              <w:t>80</w:t>
            </w:r>
            <w:r w:rsidRPr="003E6759">
              <w:rPr>
                <w:rFonts w:eastAsia="標楷體"/>
              </w:rPr>
              <w:t>％）。</w:t>
            </w:r>
          </w:p>
          <w:p w:rsidR="00672CCD" w:rsidRPr="00B90AC6" w:rsidRDefault="002F1D47" w:rsidP="003E6759">
            <w:pPr>
              <w:pStyle w:val="a4"/>
              <w:numPr>
                <w:ilvl w:val="0"/>
                <w:numId w:val="26"/>
              </w:numPr>
              <w:ind w:leftChars="0"/>
              <w:jc w:val="both"/>
            </w:pPr>
            <w:r w:rsidRPr="003E6759">
              <w:rPr>
                <w:rFonts w:eastAsia="標楷體"/>
              </w:rPr>
              <w:t>如無面試或業務測驗，本項即不予計分。</w:t>
            </w:r>
          </w:p>
        </w:tc>
      </w:tr>
      <w:tr w:rsidR="002F1D47" w:rsidRPr="00B90AC6" w:rsidTr="003E6759">
        <w:trPr>
          <w:jc w:val="center"/>
        </w:trPr>
        <w:tc>
          <w:tcPr>
            <w:tcW w:w="704" w:type="dxa"/>
            <w:vAlign w:val="center"/>
          </w:tcPr>
          <w:p w:rsidR="002F1D47" w:rsidRPr="00B90AC6" w:rsidRDefault="002F1D47" w:rsidP="00B90AC6">
            <w:pPr>
              <w:pStyle w:val="Default"/>
              <w:snapToGrid w:val="0"/>
              <w:spacing w:line="340" w:lineRule="exact"/>
              <w:jc w:val="both"/>
              <w:rPr>
                <w:rFonts w:ascii="Times New Roman" w:eastAsia="標楷體" w:hAnsi="Times New Roman" w:cs="Times New Roman"/>
              </w:rPr>
            </w:pPr>
            <w:r w:rsidRPr="00B90AC6">
              <w:rPr>
                <w:rFonts w:ascii="Times New Roman" w:eastAsia="標楷體" w:hAnsi="Times New Roman" w:cs="Times New Roman"/>
              </w:rPr>
              <w:t>校長綜合</w:t>
            </w:r>
          </w:p>
          <w:p w:rsidR="002F1D47" w:rsidRPr="00B90AC6" w:rsidRDefault="002F1D47" w:rsidP="00B90AC6">
            <w:pPr>
              <w:pStyle w:val="Default"/>
              <w:snapToGrid w:val="0"/>
              <w:spacing w:line="340" w:lineRule="exact"/>
              <w:jc w:val="both"/>
              <w:rPr>
                <w:rFonts w:ascii="Times New Roman" w:eastAsia="標楷體" w:hAnsi="Times New Roman" w:cs="Times New Roman"/>
              </w:rPr>
            </w:pPr>
            <w:r w:rsidRPr="00B90AC6">
              <w:rPr>
                <w:rFonts w:ascii="Times New Roman" w:eastAsia="標楷體" w:hAnsi="Times New Roman" w:cs="Times New Roman"/>
              </w:rPr>
              <w:t>考評</w:t>
            </w:r>
          </w:p>
        </w:tc>
        <w:tc>
          <w:tcPr>
            <w:tcW w:w="3217" w:type="dxa"/>
            <w:gridSpan w:val="2"/>
            <w:vAlign w:val="center"/>
          </w:tcPr>
          <w:p w:rsidR="002F1D47" w:rsidRPr="00B90AC6" w:rsidRDefault="002F1D47" w:rsidP="003E6759">
            <w:pPr>
              <w:pStyle w:val="TableParagraph"/>
              <w:kinsoku w:val="0"/>
              <w:overflowPunct w:val="0"/>
              <w:snapToGrid w:val="0"/>
              <w:spacing w:line="340" w:lineRule="exact"/>
              <w:jc w:val="both"/>
              <w:rPr>
                <w:rFonts w:ascii="Times New Roman" w:cs="Times New Roman"/>
              </w:rPr>
            </w:pPr>
            <w:r w:rsidRPr="00B90AC6">
              <w:rPr>
                <w:rFonts w:ascii="Times New Roman" w:cs="Times New Roman"/>
              </w:rPr>
              <w:t>由校長或經其授權之對象（含</w:t>
            </w:r>
            <w:proofErr w:type="gramStart"/>
            <w:r w:rsidRPr="00B90AC6">
              <w:rPr>
                <w:rFonts w:ascii="Times New Roman" w:cs="Times New Roman"/>
              </w:rPr>
              <w:t>甄</w:t>
            </w:r>
            <w:proofErr w:type="gramEnd"/>
            <w:r w:rsidRPr="00B90AC6">
              <w:rPr>
                <w:rFonts w:ascii="Times New Roman" w:cs="Times New Roman"/>
              </w:rPr>
              <w:t>審會）就出缺職務需要、受考人服務情形、工作績效、品德及對國家之忠誠等作綜合考評。</w:t>
            </w:r>
          </w:p>
        </w:tc>
        <w:tc>
          <w:tcPr>
            <w:tcW w:w="2470" w:type="dxa"/>
            <w:gridSpan w:val="2"/>
            <w:vAlign w:val="center"/>
          </w:tcPr>
          <w:p w:rsidR="002F1D47" w:rsidRPr="00B90AC6" w:rsidRDefault="002F1D47" w:rsidP="003E6759">
            <w:pPr>
              <w:jc w:val="center"/>
              <w:rPr>
                <w:rFonts w:eastAsia="標楷體"/>
              </w:rPr>
            </w:pPr>
            <w:r w:rsidRPr="00B90AC6">
              <w:rPr>
                <w:rFonts w:eastAsia="標楷體"/>
              </w:rPr>
              <w:t>20</w:t>
            </w:r>
            <w:r w:rsidRPr="00B90AC6">
              <w:rPr>
                <w:rFonts w:eastAsia="標楷體"/>
              </w:rPr>
              <w:t>分</w:t>
            </w:r>
          </w:p>
        </w:tc>
        <w:tc>
          <w:tcPr>
            <w:tcW w:w="4371" w:type="dxa"/>
            <w:vAlign w:val="center"/>
          </w:tcPr>
          <w:p w:rsidR="002F1D47" w:rsidRPr="003E6759" w:rsidRDefault="002F1D47" w:rsidP="003E6759">
            <w:pPr>
              <w:jc w:val="both"/>
              <w:rPr>
                <w:rFonts w:eastAsia="標楷體"/>
              </w:rPr>
            </w:pPr>
            <w:r w:rsidRPr="003E6759">
              <w:rPr>
                <w:rFonts w:eastAsia="標楷體"/>
              </w:rPr>
              <w:t>由校長綜合考評</w:t>
            </w:r>
            <w:proofErr w:type="gramStart"/>
            <w:r w:rsidRPr="003E6759">
              <w:rPr>
                <w:rFonts w:eastAsia="標楷體"/>
              </w:rPr>
              <w:t>評</w:t>
            </w:r>
            <w:proofErr w:type="gramEnd"/>
            <w:r w:rsidRPr="003E6759">
              <w:rPr>
                <w:rFonts w:eastAsia="標楷體"/>
              </w:rPr>
              <w:t>核後，應併同各評比類別分數提職員</w:t>
            </w:r>
            <w:proofErr w:type="gramStart"/>
            <w:r w:rsidRPr="003E6759">
              <w:rPr>
                <w:rFonts w:eastAsia="標楷體"/>
              </w:rPr>
              <w:t>甄審</w:t>
            </w:r>
            <w:proofErr w:type="gramEnd"/>
            <w:r w:rsidRPr="003E6759">
              <w:rPr>
                <w:rFonts w:eastAsia="標楷體"/>
              </w:rPr>
              <w:t>暨考績委員會就各受考人之積分高低，排定名次，送由人事單位列冊陳請校長圈定陞補。</w:t>
            </w:r>
          </w:p>
        </w:tc>
      </w:tr>
    </w:tbl>
    <w:p w:rsidR="002F1D47" w:rsidRPr="00B90AC6" w:rsidRDefault="002F1D47" w:rsidP="00B90AC6">
      <w:pPr>
        <w:pStyle w:val="Default"/>
        <w:snapToGrid w:val="0"/>
        <w:spacing w:line="340" w:lineRule="exact"/>
        <w:jc w:val="both"/>
        <w:rPr>
          <w:rFonts w:ascii="Times New Roman" w:eastAsia="標楷體" w:hAnsi="Times New Roman" w:cs="Times New Roman"/>
        </w:rPr>
      </w:pPr>
      <w:r w:rsidRPr="00B90AC6">
        <w:rPr>
          <w:rFonts w:ascii="Times New Roman" w:eastAsia="標楷體" w:hAnsi="Times New Roman" w:cs="Times New Roman"/>
        </w:rPr>
        <w:t>附註：</w:t>
      </w:r>
    </w:p>
    <w:p w:rsidR="00854835" w:rsidRPr="00D87535" w:rsidRDefault="002F1D47" w:rsidP="00D87535">
      <w:pPr>
        <w:pStyle w:val="a4"/>
        <w:numPr>
          <w:ilvl w:val="0"/>
          <w:numId w:val="27"/>
        </w:numPr>
        <w:ind w:leftChars="0"/>
        <w:jc w:val="both"/>
        <w:rPr>
          <w:rFonts w:eastAsia="標楷體"/>
        </w:rPr>
      </w:pPr>
      <w:r w:rsidRPr="00D87535">
        <w:rPr>
          <w:rFonts w:eastAsia="標楷體"/>
        </w:rPr>
        <w:t>本表依據「公務人員</w:t>
      </w:r>
      <w:proofErr w:type="gramStart"/>
      <w:r w:rsidRPr="00D87535">
        <w:rPr>
          <w:rFonts w:eastAsia="標楷體"/>
        </w:rPr>
        <w:t>陞</w:t>
      </w:r>
      <w:proofErr w:type="gramEnd"/>
      <w:r w:rsidRPr="00D87535">
        <w:rPr>
          <w:rFonts w:eastAsia="標楷體"/>
        </w:rPr>
        <w:t>遷法」</w:t>
      </w:r>
      <w:proofErr w:type="gramStart"/>
      <w:r w:rsidRPr="00D87535">
        <w:rPr>
          <w:rFonts w:eastAsia="標楷體"/>
        </w:rPr>
        <w:t>第</w:t>
      </w:r>
      <w:r w:rsidRPr="00D87535">
        <w:rPr>
          <w:rFonts w:eastAsia="標楷體"/>
        </w:rPr>
        <w:t>7</w:t>
      </w:r>
      <w:r w:rsidRPr="00D87535">
        <w:rPr>
          <w:rFonts w:eastAsia="標楷體"/>
        </w:rPr>
        <w:t>條</w:t>
      </w:r>
      <w:proofErr w:type="gramEnd"/>
      <w:r w:rsidRPr="00D87535">
        <w:rPr>
          <w:rFonts w:eastAsia="標楷體"/>
        </w:rPr>
        <w:t>暨其施行細則第</w:t>
      </w:r>
      <w:r w:rsidRPr="00D87535">
        <w:rPr>
          <w:rFonts w:eastAsia="標楷體"/>
        </w:rPr>
        <w:t>5</w:t>
      </w:r>
      <w:r w:rsidRPr="00D87535">
        <w:rPr>
          <w:rFonts w:eastAsia="標楷體"/>
        </w:rPr>
        <w:t>條、第</w:t>
      </w:r>
      <w:r w:rsidRPr="00D87535">
        <w:rPr>
          <w:rFonts w:eastAsia="標楷體"/>
        </w:rPr>
        <w:t>9</w:t>
      </w:r>
      <w:r w:rsidRPr="00D87535">
        <w:rPr>
          <w:rFonts w:eastAsia="標楷體"/>
        </w:rPr>
        <w:t>條及行政院</w:t>
      </w:r>
      <w:r w:rsidRPr="00D87535">
        <w:rPr>
          <w:rFonts w:eastAsia="標楷體"/>
        </w:rPr>
        <w:t>112</w:t>
      </w:r>
      <w:r w:rsidRPr="00D87535">
        <w:rPr>
          <w:rFonts w:eastAsia="標楷體"/>
        </w:rPr>
        <w:t>年</w:t>
      </w:r>
      <w:r w:rsidRPr="00D87535">
        <w:rPr>
          <w:rFonts w:eastAsia="標楷體"/>
        </w:rPr>
        <w:t>9</w:t>
      </w:r>
      <w:r w:rsidRPr="00D87535">
        <w:rPr>
          <w:rFonts w:eastAsia="標楷體"/>
        </w:rPr>
        <w:t>月</w:t>
      </w:r>
      <w:r w:rsidRPr="00D87535">
        <w:rPr>
          <w:rFonts w:eastAsia="標楷體"/>
        </w:rPr>
        <w:t>26</w:t>
      </w:r>
      <w:r w:rsidRPr="00D87535">
        <w:rPr>
          <w:rFonts w:eastAsia="標楷體"/>
        </w:rPr>
        <w:t>日</w:t>
      </w:r>
      <w:proofErr w:type="gramStart"/>
      <w:r w:rsidRPr="00D87535">
        <w:rPr>
          <w:rFonts w:eastAsia="標楷體"/>
        </w:rPr>
        <w:t>院授人培</w:t>
      </w:r>
      <w:proofErr w:type="gramEnd"/>
      <w:r w:rsidRPr="00D87535">
        <w:rPr>
          <w:rFonts w:eastAsia="標楷體"/>
        </w:rPr>
        <w:t>字第</w:t>
      </w:r>
      <w:r w:rsidRPr="00D87535">
        <w:rPr>
          <w:rFonts w:eastAsia="標楷體"/>
        </w:rPr>
        <w:t>11230286001</w:t>
      </w:r>
      <w:r w:rsidRPr="00D87535">
        <w:rPr>
          <w:rFonts w:eastAsia="標楷體"/>
        </w:rPr>
        <w:t>號函「行政院與所屬中央及地方各機關學校公務人員陞任評分標準表」訂定。</w:t>
      </w:r>
    </w:p>
    <w:p w:rsidR="002F1D47" w:rsidRPr="00D87535" w:rsidRDefault="002F1D47" w:rsidP="00D87535">
      <w:pPr>
        <w:pStyle w:val="a4"/>
        <w:numPr>
          <w:ilvl w:val="0"/>
          <w:numId w:val="27"/>
        </w:numPr>
        <w:ind w:leftChars="0"/>
        <w:jc w:val="both"/>
        <w:rPr>
          <w:rFonts w:eastAsia="標楷體"/>
        </w:rPr>
      </w:pPr>
      <w:r w:rsidRPr="00D87535">
        <w:rPr>
          <w:rFonts w:eastAsia="標楷體"/>
        </w:rPr>
        <w:t>辦理育嬰留職停薪人員之</w:t>
      </w:r>
      <w:proofErr w:type="gramStart"/>
      <w:r w:rsidRPr="00D87535">
        <w:rPr>
          <w:rFonts w:eastAsia="標楷體"/>
        </w:rPr>
        <w:t>陞</w:t>
      </w:r>
      <w:proofErr w:type="gramEnd"/>
      <w:r w:rsidRPr="00D87535">
        <w:rPr>
          <w:rFonts w:eastAsia="標楷體"/>
        </w:rPr>
        <w:t>遷評分採計，由當事人自行就下列二種方式擇優採計：</w:t>
      </w:r>
    </w:p>
    <w:p w:rsidR="002F1D47" w:rsidRPr="00B90AC6" w:rsidRDefault="002F1D47" w:rsidP="00D87535">
      <w:pPr>
        <w:pStyle w:val="Default"/>
        <w:numPr>
          <w:ilvl w:val="1"/>
          <w:numId w:val="27"/>
        </w:numPr>
        <w:snapToGrid w:val="0"/>
        <w:jc w:val="both"/>
        <w:rPr>
          <w:rFonts w:ascii="Times New Roman" w:eastAsia="標楷體" w:hAnsi="Times New Roman" w:cs="Times New Roman"/>
        </w:rPr>
      </w:pPr>
      <w:r w:rsidRPr="00B90AC6">
        <w:rPr>
          <w:rFonts w:ascii="Times New Roman" w:eastAsia="標楷體" w:hAnsi="Times New Roman" w:cs="Times New Roman"/>
        </w:rPr>
        <w:t>甲式：考績、獎懲、重大殊榮評分</w:t>
      </w:r>
      <w:proofErr w:type="gramStart"/>
      <w:r w:rsidRPr="00B90AC6">
        <w:rPr>
          <w:rFonts w:ascii="Times New Roman" w:eastAsia="標楷體" w:hAnsi="Times New Roman" w:cs="Times New Roman"/>
        </w:rPr>
        <w:t>均溯前採</w:t>
      </w:r>
      <w:proofErr w:type="gramEnd"/>
      <w:r w:rsidRPr="00B90AC6">
        <w:rPr>
          <w:rFonts w:ascii="Times New Roman" w:eastAsia="標楷體" w:hAnsi="Times New Roman" w:cs="Times New Roman"/>
        </w:rPr>
        <w:t>計。</w:t>
      </w:r>
    </w:p>
    <w:p w:rsidR="002F1D47" w:rsidRPr="00B90AC6" w:rsidRDefault="002F1D47" w:rsidP="00D87535">
      <w:pPr>
        <w:pStyle w:val="Default"/>
        <w:numPr>
          <w:ilvl w:val="2"/>
          <w:numId w:val="27"/>
        </w:numPr>
        <w:snapToGrid w:val="0"/>
        <w:jc w:val="both"/>
        <w:rPr>
          <w:rFonts w:ascii="Times New Roman" w:eastAsia="標楷體" w:hAnsi="Times New Roman" w:cs="Times New Roman"/>
        </w:rPr>
      </w:pPr>
      <w:r w:rsidRPr="00B90AC6">
        <w:rPr>
          <w:rFonts w:ascii="Times New Roman" w:eastAsia="標楷體" w:hAnsi="Times New Roman" w:cs="Times New Roman"/>
        </w:rPr>
        <w:t>是類人員考績、獎懲、重大殊榮之評分得溯前</w:t>
      </w:r>
      <w:proofErr w:type="gramStart"/>
      <w:r w:rsidRPr="00B90AC6">
        <w:rPr>
          <w:rFonts w:ascii="Times New Roman" w:eastAsia="標楷體" w:hAnsi="Times New Roman" w:cs="Times New Roman"/>
        </w:rPr>
        <w:t>採</w:t>
      </w:r>
      <w:proofErr w:type="gramEnd"/>
      <w:r w:rsidRPr="00B90AC6">
        <w:rPr>
          <w:rFonts w:ascii="Times New Roman" w:eastAsia="標楷體" w:hAnsi="Times New Roman" w:cs="Times New Roman"/>
        </w:rPr>
        <w:t>計，惟仍應以採計現職、同職務列等及同一陞遷序列</w:t>
      </w:r>
      <w:r w:rsidRPr="00B90AC6">
        <w:rPr>
          <w:rFonts w:ascii="Times New Roman" w:eastAsia="標楷體" w:hAnsi="Times New Roman" w:cs="Times New Roman"/>
        </w:rPr>
        <w:t xml:space="preserve"> </w:t>
      </w:r>
      <w:r w:rsidRPr="00B90AC6">
        <w:rPr>
          <w:rFonts w:ascii="Times New Roman" w:eastAsia="標楷體" w:hAnsi="Times New Roman" w:cs="Times New Roman"/>
        </w:rPr>
        <w:t>職務期間之考績、獎懲、重大殊榮為限，且最多合計五年。</w:t>
      </w:r>
    </w:p>
    <w:p w:rsidR="002F1D47" w:rsidRPr="00B90AC6" w:rsidRDefault="002F1D47" w:rsidP="00D87535">
      <w:pPr>
        <w:pStyle w:val="Default"/>
        <w:numPr>
          <w:ilvl w:val="2"/>
          <w:numId w:val="27"/>
        </w:numPr>
        <w:snapToGrid w:val="0"/>
        <w:jc w:val="both"/>
        <w:rPr>
          <w:rFonts w:ascii="Times New Roman" w:eastAsia="標楷體" w:hAnsi="Times New Roman" w:cs="Times New Roman"/>
        </w:rPr>
      </w:pPr>
      <w:r w:rsidRPr="00B90AC6">
        <w:rPr>
          <w:rFonts w:ascii="Times New Roman" w:eastAsia="標楷體" w:hAnsi="Times New Roman" w:cs="Times New Roman"/>
        </w:rPr>
        <w:t>至年資部分，則依現行規定辦理，以現職、同職務列等及同一</w:t>
      </w:r>
      <w:proofErr w:type="gramStart"/>
      <w:r w:rsidRPr="00B90AC6">
        <w:rPr>
          <w:rFonts w:ascii="Times New Roman" w:eastAsia="標楷體" w:hAnsi="Times New Roman" w:cs="Times New Roman"/>
        </w:rPr>
        <w:t>陞</w:t>
      </w:r>
      <w:proofErr w:type="gramEnd"/>
      <w:r w:rsidRPr="00B90AC6">
        <w:rPr>
          <w:rFonts w:ascii="Times New Roman" w:eastAsia="標楷體" w:hAnsi="Times New Roman" w:cs="Times New Roman"/>
        </w:rPr>
        <w:t>遷序列之職務期間為限（包含留職停薪前與回職復薪後之年資）。</w:t>
      </w:r>
    </w:p>
    <w:p w:rsidR="002F1D47" w:rsidRPr="00B90AC6" w:rsidRDefault="002F1D47" w:rsidP="00D87535">
      <w:pPr>
        <w:pStyle w:val="a4"/>
        <w:numPr>
          <w:ilvl w:val="1"/>
          <w:numId w:val="27"/>
        </w:numPr>
        <w:ind w:leftChars="0"/>
        <w:jc w:val="both"/>
        <w:rPr>
          <w:rFonts w:eastAsia="標楷體"/>
        </w:rPr>
      </w:pPr>
      <w:r w:rsidRPr="00B90AC6">
        <w:rPr>
          <w:rFonts w:eastAsia="標楷體"/>
        </w:rPr>
        <w:t>乙式：留職停薪期間之年資折半</w:t>
      </w:r>
      <w:proofErr w:type="gramStart"/>
      <w:r w:rsidRPr="00B90AC6">
        <w:rPr>
          <w:rFonts w:eastAsia="標楷體"/>
        </w:rPr>
        <w:t>採</w:t>
      </w:r>
      <w:proofErr w:type="gramEnd"/>
      <w:r w:rsidRPr="00B90AC6">
        <w:rPr>
          <w:rFonts w:eastAsia="標楷體"/>
        </w:rPr>
        <w:t>計評分。</w:t>
      </w:r>
    </w:p>
    <w:p w:rsidR="002F1D47" w:rsidRPr="00D87535" w:rsidRDefault="002F1D47" w:rsidP="00D87535">
      <w:pPr>
        <w:pStyle w:val="a4"/>
        <w:numPr>
          <w:ilvl w:val="0"/>
          <w:numId w:val="27"/>
        </w:numPr>
        <w:ind w:leftChars="0"/>
        <w:jc w:val="both"/>
        <w:rPr>
          <w:rFonts w:eastAsia="標楷體"/>
        </w:rPr>
      </w:pPr>
      <w:r w:rsidRPr="00D87535">
        <w:rPr>
          <w:rFonts w:eastAsia="標楷體"/>
        </w:rPr>
        <w:t>對於自他機關調進本機關服務具參加</w:t>
      </w:r>
      <w:proofErr w:type="gramStart"/>
      <w:r w:rsidRPr="00D87535">
        <w:rPr>
          <w:rFonts w:eastAsia="標楷體"/>
        </w:rPr>
        <w:t>陞</w:t>
      </w:r>
      <w:proofErr w:type="gramEnd"/>
      <w:r w:rsidRPr="00D87535">
        <w:rPr>
          <w:rFonts w:eastAsia="標楷體"/>
        </w:rPr>
        <w:t>任資格人員，於任職一年後，始採計其曾任他機關服務之年資、考績、獎懲、重大殊榮事實列入資績評分，由職員</w:t>
      </w:r>
      <w:proofErr w:type="gramStart"/>
      <w:r w:rsidRPr="00D87535">
        <w:rPr>
          <w:rFonts w:eastAsia="標楷體"/>
        </w:rPr>
        <w:t>甄審</w:t>
      </w:r>
      <w:proofErr w:type="gramEnd"/>
      <w:r w:rsidRPr="00D87535">
        <w:rPr>
          <w:rFonts w:eastAsia="標楷體"/>
        </w:rPr>
        <w:t>暨考績委員會視機關業務需要、職務性質及陞遷生態審酌決定之，惟不得逾三年。</w:t>
      </w:r>
    </w:p>
    <w:p w:rsidR="002F1D47" w:rsidRPr="00B90AC6" w:rsidRDefault="002F1D47" w:rsidP="00D87535">
      <w:pPr>
        <w:pStyle w:val="Default"/>
        <w:numPr>
          <w:ilvl w:val="0"/>
          <w:numId w:val="27"/>
        </w:numPr>
        <w:snapToGrid w:val="0"/>
        <w:jc w:val="both"/>
        <w:rPr>
          <w:rFonts w:ascii="Times New Roman" w:eastAsia="標楷體" w:hAnsi="Times New Roman" w:cs="Times New Roman"/>
        </w:rPr>
      </w:pPr>
      <w:r w:rsidRPr="00B90AC6">
        <w:rPr>
          <w:rFonts w:ascii="Times New Roman" w:eastAsia="標楷體" w:hAnsi="Times New Roman" w:cs="Times New Roman"/>
        </w:rPr>
        <w:t>曾任較高職務列等或較高</w:t>
      </w:r>
      <w:proofErr w:type="gramStart"/>
      <w:r w:rsidRPr="00B90AC6">
        <w:rPr>
          <w:rFonts w:ascii="Times New Roman" w:eastAsia="標楷體" w:hAnsi="Times New Roman" w:cs="Times New Roman"/>
        </w:rPr>
        <w:t>陞</w:t>
      </w:r>
      <w:proofErr w:type="gramEnd"/>
      <w:r w:rsidRPr="00B90AC6">
        <w:rPr>
          <w:rFonts w:ascii="Times New Roman" w:eastAsia="標楷體" w:hAnsi="Times New Roman" w:cs="Times New Roman"/>
        </w:rPr>
        <w:t>遷序列資績分數不予採計（即高資不低採），惟機關基於業務需要、職務性質及人才運用考量，得依下列方式辦理：</w:t>
      </w:r>
    </w:p>
    <w:p w:rsidR="002F1D47" w:rsidRPr="00B90AC6" w:rsidRDefault="002F1D47" w:rsidP="00D87535">
      <w:pPr>
        <w:pStyle w:val="Default"/>
        <w:numPr>
          <w:ilvl w:val="1"/>
          <w:numId w:val="27"/>
        </w:numPr>
        <w:snapToGrid w:val="0"/>
        <w:ind w:left="993" w:hanging="513"/>
        <w:jc w:val="both"/>
        <w:rPr>
          <w:rFonts w:ascii="Times New Roman" w:eastAsia="標楷體" w:hAnsi="Times New Roman" w:cs="Times New Roman"/>
        </w:rPr>
      </w:pPr>
      <w:r w:rsidRPr="00B90AC6">
        <w:rPr>
          <w:rFonts w:ascii="Times New Roman" w:eastAsia="標楷體" w:hAnsi="Times New Roman" w:cs="Times New Roman"/>
        </w:rPr>
        <w:t>考績、獎懲、重大殊榮之評分「得」溯前</w:t>
      </w:r>
      <w:proofErr w:type="gramStart"/>
      <w:r w:rsidRPr="00B90AC6">
        <w:rPr>
          <w:rFonts w:ascii="Times New Roman" w:eastAsia="標楷體" w:hAnsi="Times New Roman" w:cs="Times New Roman"/>
        </w:rPr>
        <w:t>採</w:t>
      </w:r>
      <w:proofErr w:type="gramEnd"/>
      <w:r w:rsidRPr="00B90AC6">
        <w:rPr>
          <w:rFonts w:ascii="Times New Roman" w:eastAsia="標楷體" w:hAnsi="Times New Roman" w:cs="Times New Roman"/>
        </w:rPr>
        <w:t>計，惟仍應以採計現職、同職務列等或同一陞遷序列職務期間之考績、獎懲、重大殊榮為限，且最多合計五年。至年資部分，仍以現職、同職務列等或同一</w:t>
      </w:r>
      <w:proofErr w:type="gramStart"/>
      <w:r w:rsidRPr="00B90AC6">
        <w:rPr>
          <w:rFonts w:ascii="Times New Roman" w:eastAsia="標楷體" w:hAnsi="Times New Roman" w:cs="Times New Roman"/>
        </w:rPr>
        <w:t>陞</w:t>
      </w:r>
      <w:proofErr w:type="gramEnd"/>
      <w:r w:rsidRPr="00B90AC6">
        <w:rPr>
          <w:rFonts w:ascii="Times New Roman" w:eastAsia="標楷體" w:hAnsi="Times New Roman" w:cs="Times New Roman"/>
        </w:rPr>
        <w:t>遷序列之職務期間為限（包含前已採計之與擬陞任職務次一序列為同一序列之年資亦可採計）。</w:t>
      </w:r>
    </w:p>
    <w:p w:rsidR="002F1D47" w:rsidRPr="00B90AC6" w:rsidRDefault="002F1D47" w:rsidP="00D87535">
      <w:pPr>
        <w:pStyle w:val="Default"/>
        <w:numPr>
          <w:ilvl w:val="1"/>
          <w:numId w:val="27"/>
        </w:numPr>
        <w:snapToGrid w:val="0"/>
        <w:jc w:val="both"/>
        <w:rPr>
          <w:rFonts w:ascii="Times New Roman" w:eastAsia="標楷體" w:hAnsi="Times New Roman" w:cs="Times New Roman"/>
        </w:rPr>
      </w:pPr>
      <w:r w:rsidRPr="00B90AC6">
        <w:rPr>
          <w:rFonts w:ascii="Times New Roman" w:eastAsia="標楷體" w:hAnsi="Times New Roman" w:cs="Times New Roman"/>
        </w:rPr>
        <w:t>於降調人員任職</w:t>
      </w:r>
      <w:proofErr w:type="gramStart"/>
      <w:r w:rsidRPr="00B90AC6">
        <w:rPr>
          <w:rFonts w:ascii="Times New Roman" w:eastAsia="標楷體" w:hAnsi="Times New Roman" w:cs="Times New Roman"/>
        </w:rPr>
        <w:t>一</w:t>
      </w:r>
      <w:proofErr w:type="gramEnd"/>
      <w:r w:rsidRPr="00B90AC6">
        <w:rPr>
          <w:rFonts w:ascii="Times New Roman" w:eastAsia="標楷體" w:hAnsi="Times New Roman" w:cs="Times New Roman"/>
        </w:rPr>
        <w:t>年後，始依上開原則溯前採計。</w:t>
      </w:r>
    </w:p>
    <w:p w:rsidR="002F1D47" w:rsidRPr="00B90AC6" w:rsidRDefault="002F1D47" w:rsidP="00D87535">
      <w:pPr>
        <w:pStyle w:val="Default"/>
        <w:numPr>
          <w:ilvl w:val="0"/>
          <w:numId w:val="27"/>
        </w:numPr>
        <w:snapToGrid w:val="0"/>
        <w:jc w:val="both"/>
        <w:rPr>
          <w:rFonts w:ascii="Times New Roman" w:eastAsia="標楷體" w:hAnsi="Times New Roman" w:cs="Times New Roman"/>
        </w:rPr>
      </w:pPr>
      <w:r w:rsidRPr="00B90AC6">
        <w:rPr>
          <w:rFonts w:ascii="Times New Roman" w:eastAsia="標楷體" w:hAnsi="Times New Roman" w:cs="Times New Roman"/>
        </w:rPr>
        <w:t>依「行政院與所屬中央及地方各機關學校公務人員</w:t>
      </w:r>
      <w:proofErr w:type="gramStart"/>
      <w:r w:rsidRPr="00B90AC6">
        <w:rPr>
          <w:rFonts w:ascii="Times New Roman" w:eastAsia="標楷體" w:hAnsi="Times New Roman" w:cs="Times New Roman"/>
        </w:rPr>
        <w:t>陞</w:t>
      </w:r>
      <w:proofErr w:type="gramEnd"/>
      <w:r w:rsidRPr="00B90AC6">
        <w:rPr>
          <w:rFonts w:ascii="Times New Roman" w:eastAsia="標楷體" w:hAnsi="Times New Roman" w:cs="Times New Roman"/>
        </w:rPr>
        <w:t>任評分標準表」規定」規定自行訂定評比項目之評分標準及配分時，應報經職員</w:t>
      </w:r>
      <w:proofErr w:type="gramStart"/>
      <w:r w:rsidRPr="00B90AC6">
        <w:rPr>
          <w:rFonts w:ascii="Times New Roman" w:eastAsia="標楷體" w:hAnsi="Times New Roman" w:cs="Times New Roman"/>
        </w:rPr>
        <w:t>甄審</w:t>
      </w:r>
      <w:proofErr w:type="gramEnd"/>
      <w:r w:rsidRPr="00B90AC6">
        <w:rPr>
          <w:rFonts w:ascii="Times New Roman" w:eastAsia="標楷體" w:hAnsi="Times New Roman" w:cs="Times New Roman"/>
        </w:rPr>
        <w:t>暨考績委員會通過並經校長核定後實施。</w:t>
      </w:r>
      <w:bookmarkStart w:id="0" w:name="_GoBack"/>
      <w:bookmarkEnd w:id="0"/>
    </w:p>
    <w:sectPr w:rsidR="002F1D47" w:rsidRPr="00B90AC6" w:rsidSect="00B77339">
      <w:footerReference w:type="default" r:id="rId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1DB" w:rsidRDefault="00C371DB" w:rsidP="00B90AC6">
      <w:r>
        <w:separator/>
      </w:r>
    </w:p>
  </w:endnote>
  <w:endnote w:type="continuationSeparator" w:id="0">
    <w:p w:rsidR="00C371DB" w:rsidRDefault="00C371DB" w:rsidP="00B9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198806"/>
      <w:docPartObj>
        <w:docPartGallery w:val="Page Numbers (Bottom of Page)"/>
        <w:docPartUnique/>
      </w:docPartObj>
    </w:sdtPr>
    <w:sdtEndPr/>
    <w:sdtContent>
      <w:p w:rsidR="00B90AC6" w:rsidRDefault="00B90AC6">
        <w:pPr>
          <w:pStyle w:val="a7"/>
          <w:jc w:val="center"/>
        </w:pPr>
        <w:r>
          <w:fldChar w:fldCharType="begin"/>
        </w:r>
        <w:r>
          <w:instrText>PAGE   \* MERGEFORMAT</w:instrText>
        </w:r>
        <w:r>
          <w:fldChar w:fldCharType="separate"/>
        </w:r>
        <w:r>
          <w:rPr>
            <w:lang w:val="zh-TW"/>
          </w:rPr>
          <w:t>2</w:t>
        </w:r>
        <w:r>
          <w:fldChar w:fldCharType="end"/>
        </w:r>
      </w:p>
    </w:sdtContent>
  </w:sdt>
  <w:p w:rsidR="00B90AC6" w:rsidRDefault="00B90A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1DB" w:rsidRDefault="00C371DB" w:rsidP="00B90AC6">
      <w:r>
        <w:separator/>
      </w:r>
    </w:p>
  </w:footnote>
  <w:footnote w:type="continuationSeparator" w:id="0">
    <w:p w:rsidR="00C371DB" w:rsidRDefault="00C371DB" w:rsidP="00B90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FCD"/>
    <w:multiLevelType w:val="hybridMultilevel"/>
    <w:tmpl w:val="5E94CA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5B5663"/>
    <w:multiLevelType w:val="hybridMultilevel"/>
    <w:tmpl w:val="61707676"/>
    <w:lvl w:ilvl="0" w:tplc="1B9A540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B83282"/>
    <w:multiLevelType w:val="hybridMultilevel"/>
    <w:tmpl w:val="77A2172A"/>
    <w:lvl w:ilvl="0" w:tplc="41B080B8">
      <w:start w:val="1"/>
      <w:numFmt w:val="taiwaneseCountingThousand"/>
      <w:lvlText w:val="(%1)、"/>
      <w:lvlJc w:val="left"/>
      <w:pPr>
        <w:ind w:left="0" w:firstLine="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C290F93"/>
    <w:multiLevelType w:val="hybridMultilevel"/>
    <w:tmpl w:val="2B06CF0E"/>
    <w:lvl w:ilvl="0" w:tplc="0614823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6E727C"/>
    <w:multiLevelType w:val="hybridMultilevel"/>
    <w:tmpl w:val="E05A71B0"/>
    <w:lvl w:ilvl="0" w:tplc="04090015">
      <w:start w:val="1"/>
      <w:numFmt w:val="taiwaneseCountingThousand"/>
      <w:lvlText w:val="%1、"/>
      <w:lvlJc w:val="left"/>
      <w:pPr>
        <w:ind w:left="480" w:hanging="480"/>
      </w:pPr>
    </w:lvl>
    <w:lvl w:ilvl="1" w:tplc="F058EC24">
      <w:start w:val="1"/>
      <w:numFmt w:val="taiwaneseCountingThousand"/>
      <w:lvlText w:val="(%2)"/>
      <w:lvlJc w:val="left"/>
      <w:pPr>
        <w:ind w:left="870" w:hanging="390"/>
      </w:pPr>
      <w:rPr>
        <w:rFonts w:hint="default"/>
      </w:rPr>
    </w:lvl>
    <w:lvl w:ilvl="2" w:tplc="EC200CB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BF0C29"/>
    <w:multiLevelType w:val="hybridMultilevel"/>
    <w:tmpl w:val="0DD032DA"/>
    <w:lvl w:ilvl="0" w:tplc="4B9041D8">
      <w:start w:val="1"/>
      <w:numFmt w:val="taiwaneseCountingThousand"/>
      <w:suff w:val="nothing"/>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F91A5C"/>
    <w:multiLevelType w:val="hybridMultilevel"/>
    <w:tmpl w:val="2CF86E78"/>
    <w:lvl w:ilvl="0" w:tplc="013008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3B44B2"/>
    <w:multiLevelType w:val="hybridMultilevel"/>
    <w:tmpl w:val="C1F693BA"/>
    <w:lvl w:ilvl="0" w:tplc="3EDE3E06">
      <w:start w:val="1"/>
      <w:numFmt w:val="taiwaneseCountingThousand"/>
      <w:suff w:val="nothing"/>
      <w:lvlText w:val="(%1)"/>
      <w:lvlJc w:val="left"/>
      <w:pPr>
        <w:ind w:left="59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8" w15:restartNumberingAfterBreak="0">
    <w:nsid w:val="2CD80BEC"/>
    <w:multiLevelType w:val="hybridMultilevel"/>
    <w:tmpl w:val="152CAD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3A3E58"/>
    <w:multiLevelType w:val="hybridMultilevel"/>
    <w:tmpl w:val="576AE78A"/>
    <w:lvl w:ilvl="0" w:tplc="5320420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2D30A4"/>
    <w:multiLevelType w:val="hybridMultilevel"/>
    <w:tmpl w:val="CD8E3840"/>
    <w:lvl w:ilvl="0" w:tplc="5ED43F3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F925BF"/>
    <w:multiLevelType w:val="hybridMultilevel"/>
    <w:tmpl w:val="2E2A67FE"/>
    <w:lvl w:ilvl="0" w:tplc="E1866E1A">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5730A9"/>
    <w:multiLevelType w:val="hybridMultilevel"/>
    <w:tmpl w:val="47E6A9F0"/>
    <w:lvl w:ilvl="0" w:tplc="C57A5326">
      <w:start w:val="1"/>
      <w:numFmt w:val="taiwaneseCountingThousand"/>
      <w:lvlText w:val="%1、"/>
      <w:lvlJc w:val="left"/>
      <w:pPr>
        <w:ind w:left="480" w:hanging="480"/>
      </w:pPr>
      <w:rPr>
        <w:rFonts w:ascii="標楷體" w:eastAsia="標楷體" w:hAnsi="標楷體"/>
      </w:rPr>
    </w:lvl>
    <w:lvl w:ilvl="1" w:tplc="E5849CE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357F80"/>
    <w:multiLevelType w:val="hybridMultilevel"/>
    <w:tmpl w:val="3DCADC3C"/>
    <w:lvl w:ilvl="0" w:tplc="89D06252">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524BDE"/>
    <w:multiLevelType w:val="hybridMultilevel"/>
    <w:tmpl w:val="51ACA6B8"/>
    <w:lvl w:ilvl="0" w:tplc="C3342F42">
      <w:start w:val="1"/>
      <w:numFmt w:val="taiwaneseCountingThousand"/>
      <w:suff w:val="nothing"/>
      <w:lvlText w:val="%1、"/>
      <w:lvlJc w:val="left"/>
      <w:pPr>
        <w:ind w:left="598" w:hanging="48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5" w15:restartNumberingAfterBreak="0">
    <w:nsid w:val="3D5B000B"/>
    <w:multiLevelType w:val="hybridMultilevel"/>
    <w:tmpl w:val="AA56120A"/>
    <w:lvl w:ilvl="0" w:tplc="63B21BC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6114AF"/>
    <w:multiLevelType w:val="hybridMultilevel"/>
    <w:tmpl w:val="1554AFA8"/>
    <w:lvl w:ilvl="0" w:tplc="4B042A8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600E9E"/>
    <w:multiLevelType w:val="hybridMultilevel"/>
    <w:tmpl w:val="0BCAB66C"/>
    <w:lvl w:ilvl="0" w:tplc="04090015">
      <w:start w:val="1"/>
      <w:numFmt w:val="taiwaneseCountingThousand"/>
      <w:lvlText w:val="%1、"/>
      <w:lvlJc w:val="left"/>
      <w:pPr>
        <w:ind w:left="506" w:hanging="480"/>
      </w:p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8" w15:restartNumberingAfterBreak="0">
    <w:nsid w:val="448F5E6B"/>
    <w:multiLevelType w:val="hybridMultilevel"/>
    <w:tmpl w:val="AF0A8374"/>
    <w:lvl w:ilvl="0" w:tplc="9DF44600">
      <w:start w:val="1"/>
      <w:numFmt w:val="taiwaneseCountingThousand"/>
      <w:suff w:val="nothing"/>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0B477C"/>
    <w:multiLevelType w:val="hybridMultilevel"/>
    <w:tmpl w:val="87F8DF46"/>
    <w:lvl w:ilvl="0" w:tplc="F9AA7C14">
      <w:start w:val="1"/>
      <w:numFmt w:val="taiwaneseCountingThousand"/>
      <w:suff w:val="nothing"/>
      <w:lvlText w:val="%1、"/>
      <w:lvlJc w:val="left"/>
      <w:pPr>
        <w:ind w:left="83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6D19EE"/>
    <w:multiLevelType w:val="hybridMultilevel"/>
    <w:tmpl w:val="EFF074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4D180E"/>
    <w:multiLevelType w:val="hybridMultilevel"/>
    <w:tmpl w:val="66487338"/>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5E36CC"/>
    <w:multiLevelType w:val="hybridMultilevel"/>
    <w:tmpl w:val="7374B366"/>
    <w:lvl w:ilvl="0" w:tplc="C0AAC62A">
      <w:start w:val="1"/>
      <w:numFmt w:val="taiwaneseCountingThousand"/>
      <w:lvlText w:val="(%1)"/>
      <w:lvlJc w:val="left"/>
      <w:pPr>
        <w:ind w:left="0" w:firstLine="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E8E0B11"/>
    <w:multiLevelType w:val="hybridMultilevel"/>
    <w:tmpl w:val="88D6FE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5846E3"/>
    <w:multiLevelType w:val="hybridMultilevel"/>
    <w:tmpl w:val="BEB80A4E"/>
    <w:lvl w:ilvl="0" w:tplc="C5F24D82">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161995"/>
    <w:multiLevelType w:val="hybridMultilevel"/>
    <w:tmpl w:val="1E32C3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D614BB7"/>
    <w:multiLevelType w:val="hybridMultilevel"/>
    <w:tmpl w:val="58C4AD32"/>
    <w:lvl w:ilvl="0" w:tplc="F644418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num w:numId="1">
    <w:abstractNumId w:val="18"/>
  </w:num>
  <w:num w:numId="2">
    <w:abstractNumId w:val="7"/>
  </w:num>
  <w:num w:numId="3">
    <w:abstractNumId w:val="14"/>
  </w:num>
  <w:num w:numId="4">
    <w:abstractNumId w:val="19"/>
  </w:num>
  <w:num w:numId="5">
    <w:abstractNumId w:val="6"/>
  </w:num>
  <w:num w:numId="6">
    <w:abstractNumId w:val="5"/>
  </w:num>
  <w:num w:numId="7">
    <w:abstractNumId w:val="21"/>
  </w:num>
  <w:num w:numId="8">
    <w:abstractNumId w:val="11"/>
  </w:num>
  <w:num w:numId="9">
    <w:abstractNumId w:val="26"/>
  </w:num>
  <w:num w:numId="10">
    <w:abstractNumId w:val="15"/>
  </w:num>
  <w:num w:numId="11">
    <w:abstractNumId w:val="24"/>
  </w:num>
  <w:num w:numId="12">
    <w:abstractNumId w:val="16"/>
  </w:num>
  <w:num w:numId="13">
    <w:abstractNumId w:val="3"/>
  </w:num>
  <w:num w:numId="14">
    <w:abstractNumId w:val="17"/>
  </w:num>
  <w:num w:numId="15">
    <w:abstractNumId w:val="0"/>
  </w:num>
  <w:num w:numId="16">
    <w:abstractNumId w:val="23"/>
  </w:num>
  <w:num w:numId="17">
    <w:abstractNumId w:val="2"/>
  </w:num>
  <w:num w:numId="18">
    <w:abstractNumId w:val="22"/>
  </w:num>
  <w:num w:numId="19">
    <w:abstractNumId w:val="25"/>
  </w:num>
  <w:num w:numId="20">
    <w:abstractNumId w:val="9"/>
  </w:num>
  <w:num w:numId="21">
    <w:abstractNumId w:val="8"/>
  </w:num>
  <w:num w:numId="22">
    <w:abstractNumId w:val="20"/>
  </w:num>
  <w:num w:numId="23">
    <w:abstractNumId w:val="1"/>
  </w:num>
  <w:num w:numId="24">
    <w:abstractNumId w:val="10"/>
  </w:num>
  <w:num w:numId="25">
    <w:abstractNumId w:val="12"/>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39"/>
    <w:rsid w:val="0008020D"/>
    <w:rsid w:val="00136133"/>
    <w:rsid w:val="002B489C"/>
    <w:rsid w:val="002C43B4"/>
    <w:rsid w:val="002F1D47"/>
    <w:rsid w:val="0037421A"/>
    <w:rsid w:val="003E6759"/>
    <w:rsid w:val="00657F8C"/>
    <w:rsid w:val="00672CCD"/>
    <w:rsid w:val="00854835"/>
    <w:rsid w:val="00AD10BE"/>
    <w:rsid w:val="00B77339"/>
    <w:rsid w:val="00B90AC6"/>
    <w:rsid w:val="00C371DB"/>
    <w:rsid w:val="00D3796D"/>
    <w:rsid w:val="00D875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FB858B-7DCD-4326-82CE-E49F4B8F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339"/>
    <w:pPr>
      <w:widowControl w:val="0"/>
    </w:pPr>
    <w:rPr>
      <w:rFonts w:ascii="Times New Roman" w:eastAsia="新細明體" w:hAnsi="Times New Roman" w:cs="Times New Roman"/>
      <w:szCs w:val="20"/>
    </w:rPr>
  </w:style>
  <w:style w:type="paragraph" w:styleId="3">
    <w:name w:val="heading 3"/>
    <w:basedOn w:val="a"/>
    <w:next w:val="a"/>
    <w:link w:val="30"/>
    <w:qFormat/>
    <w:rsid w:val="00672CCD"/>
    <w:pPr>
      <w:keepNext/>
      <w:spacing w:line="720" w:lineRule="auto"/>
      <w:outlineLvl w:val="2"/>
    </w:pPr>
    <w:rPr>
      <w:rFonts w:ascii="Arial" w:hAnsi="Arial"/>
      <w:b/>
      <w:bCs/>
      <w:sz w:val="36"/>
      <w:szCs w:val="36"/>
    </w:rPr>
  </w:style>
  <w:style w:type="paragraph" w:styleId="4">
    <w:name w:val="heading 4"/>
    <w:basedOn w:val="a"/>
    <w:next w:val="a"/>
    <w:link w:val="40"/>
    <w:unhideWhenUsed/>
    <w:qFormat/>
    <w:rsid w:val="00672CCD"/>
    <w:pPr>
      <w:keepNext/>
      <w:spacing w:line="720" w:lineRule="auto"/>
      <w:outlineLvl w:val="3"/>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77339"/>
    <w:pPr>
      <w:autoSpaceDE w:val="0"/>
      <w:autoSpaceDN w:val="0"/>
      <w:adjustRightInd w:val="0"/>
    </w:pPr>
    <w:rPr>
      <w:rFonts w:ascii="標楷體" w:eastAsia="標楷體" w:cs="標楷體"/>
      <w:kern w:val="0"/>
      <w:szCs w:val="24"/>
    </w:rPr>
  </w:style>
  <w:style w:type="paragraph" w:customStyle="1" w:styleId="Default">
    <w:name w:val="Default"/>
    <w:rsid w:val="00B77339"/>
    <w:pPr>
      <w:widowControl w:val="0"/>
      <w:suppressAutoHyphens/>
      <w:autoSpaceDE w:val="0"/>
      <w:autoSpaceDN w:val="0"/>
      <w:textAlignment w:val="baseline"/>
    </w:pPr>
    <w:rPr>
      <w:rFonts w:ascii="標楷體" w:eastAsia="新細明體" w:hAnsi="標楷體" w:cs="標楷體"/>
      <w:color w:val="000000"/>
      <w:kern w:val="0"/>
      <w:szCs w:val="24"/>
    </w:rPr>
  </w:style>
  <w:style w:type="character" w:customStyle="1" w:styleId="40">
    <w:name w:val="標題 4 字元"/>
    <w:basedOn w:val="a0"/>
    <w:link w:val="4"/>
    <w:rsid w:val="00672CCD"/>
    <w:rPr>
      <w:rFonts w:ascii="Calibri Light" w:eastAsia="新細明體" w:hAnsi="Calibri Light" w:cs="Times New Roman"/>
      <w:sz w:val="36"/>
      <w:szCs w:val="36"/>
    </w:rPr>
  </w:style>
  <w:style w:type="character" w:customStyle="1" w:styleId="30">
    <w:name w:val="標題 3 字元"/>
    <w:basedOn w:val="a0"/>
    <w:link w:val="3"/>
    <w:rsid w:val="00672CCD"/>
    <w:rPr>
      <w:rFonts w:ascii="Arial" w:eastAsia="新細明體" w:hAnsi="Arial" w:cs="Times New Roman"/>
      <w:b/>
      <w:bCs/>
      <w:sz w:val="36"/>
      <w:szCs w:val="36"/>
    </w:rPr>
  </w:style>
  <w:style w:type="paragraph" w:styleId="a4">
    <w:name w:val="List Paragraph"/>
    <w:basedOn w:val="a"/>
    <w:uiPriority w:val="34"/>
    <w:qFormat/>
    <w:rsid w:val="002F1D47"/>
    <w:pPr>
      <w:ind w:leftChars="200" w:left="480"/>
    </w:pPr>
  </w:style>
  <w:style w:type="paragraph" w:styleId="2">
    <w:name w:val="Body Text Indent 2"/>
    <w:basedOn w:val="a"/>
    <w:link w:val="20"/>
    <w:rsid w:val="002F1D47"/>
    <w:pPr>
      <w:spacing w:line="400" w:lineRule="exact"/>
      <w:ind w:leftChars="400" w:left="1800" w:hangingChars="300" w:hanging="840"/>
    </w:pPr>
    <w:rPr>
      <w:rFonts w:ascii="標楷體" w:eastAsia="標楷體" w:hAnsi="標楷體"/>
      <w:sz w:val="28"/>
      <w:szCs w:val="24"/>
    </w:rPr>
  </w:style>
  <w:style w:type="character" w:customStyle="1" w:styleId="20">
    <w:name w:val="本文縮排 2 字元"/>
    <w:basedOn w:val="a0"/>
    <w:link w:val="2"/>
    <w:rsid w:val="002F1D47"/>
    <w:rPr>
      <w:rFonts w:ascii="標楷體" w:eastAsia="標楷體" w:hAnsi="標楷體" w:cs="Times New Roman"/>
      <w:sz w:val="28"/>
      <w:szCs w:val="24"/>
    </w:rPr>
  </w:style>
  <w:style w:type="paragraph" w:styleId="a5">
    <w:name w:val="header"/>
    <w:basedOn w:val="a"/>
    <w:link w:val="a6"/>
    <w:uiPriority w:val="99"/>
    <w:unhideWhenUsed/>
    <w:rsid w:val="00B90AC6"/>
    <w:pPr>
      <w:tabs>
        <w:tab w:val="center" w:pos="4153"/>
        <w:tab w:val="right" w:pos="8306"/>
      </w:tabs>
      <w:snapToGrid w:val="0"/>
    </w:pPr>
    <w:rPr>
      <w:sz w:val="20"/>
    </w:rPr>
  </w:style>
  <w:style w:type="character" w:customStyle="1" w:styleId="a6">
    <w:name w:val="頁首 字元"/>
    <w:basedOn w:val="a0"/>
    <w:link w:val="a5"/>
    <w:uiPriority w:val="99"/>
    <w:rsid w:val="00B90AC6"/>
    <w:rPr>
      <w:rFonts w:ascii="Times New Roman" w:eastAsia="新細明體" w:hAnsi="Times New Roman" w:cs="Times New Roman"/>
      <w:sz w:val="20"/>
      <w:szCs w:val="20"/>
    </w:rPr>
  </w:style>
  <w:style w:type="paragraph" w:styleId="a7">
    <w:name w:val="footer"/>
    <w:basedOn w:val="a"/>
    <w:link w:val="a8"/>
    <w:uiPriority w:val="99"/>
    <w:unhideWhenUsed/>
    <w:rsid w:val="00B90AC6"/>
    <w:pPr>
      <w:tabs>
        <w:tab w:val="center" w:pos="4153"/>
        <w:tab w:val="right" w:pos="8306"/>
      </w:tabs>
      <w:snapToGrid w:val="0"/>
    </w:pPr>
    <w:rPr>
      <w:sz w:val="20"/>
    </w:rPr>
  </w:style>
  <w:style w:type="character" w:customStyle="1" w:styleId="a8">
    <w:name w:val="頁尾 字元"/>
    <w:basedOn w:val="a0"/>
    <w:link w:val="a7"/>
    <w:uiPriority w:val="99"/>
    <w:rsid w:val="00B90AC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585</Words>
  <Characters>3341</Characters>
  <Application>Microsoft Office Word</Application>
  <DocSecurity>0</DocSecurity>
  <Lines>27</Lines>
  <Paragraphs>7</Paragraphs>
  <ScaleCrop>false</ScaleCrop>
  <Company>國立高雄大學</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蘇雅淑</dc:creator>
  <cp:keywords/>
  <dc:description/>
  <cp:lastModifiedBy>蘇雅淑</cp:lastModifiedBy>
  <cp:revision>8</cp:revision>
  <dcterms:created xsi:type="dcterms:W3CDTF">2024-06-27T03:26:00Z</dcterms:created>
  <dcterms:modified xsi:type="dcterms:W3CDTF">2024-06-27T07:06:00Z</dcterms:modified>
</cp:coreProperties>
</file>